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6C7" w14:textId="77777777" w:rsidR="0065035F" w:rsidRPr="004622B2" w:rsidRDefault="0065035F" w:rsidP="006503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70C0"/>
          <w:u w:val="single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64E4FD76" w14:textId="77777777" w:rsidR="0065035F" w:rsidRDefault="0065035F" w:rsidP="006503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FDC8AA8" w14:textId="77777777" w:rsidR="0065035F" w:rsidRDefault="0065035F" w:rsidP="006503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AC0335D" w14:textId="77777777" w:rsidR="0065035F" w:rsidRDefault="0065035F" w:rsidP="0065035F">
      <w:pPr>
        <w:pStyle w:val="a4"/>
        <w:spacing w:before="0" w:beforeAutospacing="0" w:after="0" w:afterAutospacing="0" w:line="288" w:lineRule="atLeast"/>
      </w:pPr>
      <w:r>
        <w:t>Зарегистрировано в Минюсте России 14 февраля 2024 г. N 77260</w:t>
      </w:r>
    </w:p>
    <w:p w14:paraId="0A7F3295" w14:textId="77777777" w:rsidR="0065035F" w:rsidRDefault="0065035F" w:rsidP="0065035F">
      <w:pPr>
        <w:pStyle w:val="a4"/>
        <w:spacing w:before="168" w:beforeAutospacing="0" w:after="0" w:afterAutospacing="0" w:line="288" w:lineRule="atLeast"/>
        <w:jc w:val="both"/>
      </w:pPr>
      <w:r>
        <w:t xml:space="preserve">------------------------------------------------------------------ </w:t>
      </w:r>
    </w:p>
    <w:p w14:paraId="4CC42FA8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1D651C58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ЦЕНТРАЛЬНЫЙ БАНК РОССИЙСКОЙ ФЕДЕРАЦИИ </w:t>
      </w:r>
    </w:p>
    <w:p w14:paraId="4AFD2D6A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14:paraId="6DC4265A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УКАЗАНИЕ </w:t>
      </w:r>
    </w:p>
    <w:p w14:paraId="19004BA6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9 января 2024 г. N 6658-У </w:t>
      </w:r>
    </w:p>
    <w:p w14:paraId="3B62EA02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14:paraId="5CB82C3C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</w:t>
      </w:r>
    </w:p>
    <w:p w14:paraId="2085EE03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УКАЗАНИЕ БАНКА РОССИИ ОТ 11 МАРТА 2014 ГОДА N 3210-У </w:t>
      </w:r>
    </w:p>
    <w:p w14:paraId="4D08B85D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"О ПОРЯДКЕ ВЕДЕНИЯ КАССОВЫХ ОПЕРАЦИЙ ЮРИДИЧЕСКИМИ ЛИЦАМИ </w:t>
      </w:r>
    </w:p>
    <w:p w14:paraId="6295A85E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 УПРОЩЕННОМ ПОРЯДКЕ ВЕДЕНИЯ КАССОВЫХ ОПЕРАЦИЙ </w:t>
      </w:r>
    </w:p>
    <w:p w14:paraId="2268FD29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ИНДИВИДУАЛЬНЫМИ ПРЕДПРИНИМАТЕЛЯМИ И СУБЪЕКТАМИ </w:t>
      </w:r>
    </w:p>
    <w:p w14:paraId="30C4CDA9" w14:textId="77777777" w:rsidR="0065035F" w:rsidRDefault="0065035F" w:rsidP="0065035F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МАЛОГО ПРЕДПРИНИМАТЕЛЬСТВА" </w:t>
      </w:r>
    </w:p>
    <w:p w14:paraId="091295FA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29105989" w14:textId="77777777" w:rsidR="0065035F" w:rsidRDefault="0065035F" w:rsidP="0065035F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На основании </w:t>
      </w:r>
      <w:hyperlink r:id="rId5" w:history="1">
        <w:r>
          <w:rPr>
            <w:rStyle w:val="a3"/>
          </w:rPr>
          <w:t>статьи 34</w:t>
        </w:r>
      </w:hyperlink>
      <w:r>
        <w:t xml:space="preserve"> Федерального закона от 10 июля 2002 года N 86-ФЗ "О Центральном банке Российской Федерации (Банке России)": </w:t>
      </w:r>
    </w:p>
    <w:p w14:paraId="73479BB5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1. Внести в </w:t>
      </w:r>
      <w:hyperlink r:id="rId6" w:history="1">
        <w:r>
          <w:rPr>
            <w:rStyle w:val="a3"/>
          </w:rPr>
          <w:t>Указание</w:t>
        </w:r>
      </w:hyperlink>
      <w:r>
        <w:t xml:space="preserve"> Банка России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&lt;1&gt; следующие изменения: </w:t>
      </w:r>
    </w:p>
    <w:p w14:paraId="1D2D5EC6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-------------------------------- </w:t>
      </w:r>
    </w:p>
    <w:p w14:paraId="70999AAF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&lt;1&gt; Зарегистрировано Минюстом России 23 мая 2014 года, регистрационный N 32404, с изменениями, внесенными Указаниями Банка России от 3 февраля 2015 года N 3558-У (зарегистрировано Минюстом России 19 февраля 2015 года, регистрационный N 36103), от 19 июня 2017 года N 4416-У (зарегистрировано Минюстом России 4 августа 2017 года, регистрационный N 47676), от 5 октября 2020 года N 5587-У (зарегистрировано Минюстом России 11 ноября 2020 года, регистрационный N 60850). </w:t>
      </w:r>
    </w:p>
    <w:p w14:paraId="4FD013B9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7C918CA0" w14:textId="77777777" w:rsidR="0065035F" w:rsidRDefault="0065035F" w:rsidP="0065035F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1.1. </w:t>
      </w:r>
      <w:hyperlink r:id="rId7" w:history="1">
        <w:r>
          <w:rPr>
            <w:rStyle w:val="a3"/>
          </w:rPr>
          <w:t>Абзац первый пункта 2</w:t>
        </w:r>
      </w:hyperlink>
      <w:r>
        <w:t xml:space="preserve"> после слов "выдаче наличных денег" дополнить словами ", размену банкнот, монеты Банка России одного номинала на банкноты, монету Банка России другого номинала". </w:t>
      </w:r>
    </w:p>
    <w:p w14:paraId="76CCCFF5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1.2. </w:t>
      </w:r>
      <w:hyperlink r:id="rId8" w:history="1">
        <w:r>
          <w:rPr>
            <w:rStyle w:val="a3"/>
          </w:rPr>
          <w:t>Абзац первый подпункта 4.1 пункта 4</w:t>
        </w:r>
      </w:hyperlink>
      <w:r>
        <w:t xml:space="preserve"> изложить в следующей редакции: </w:t>
      </w:r>
    </w:p>
    <w:p w14:paraId="2A52D155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"4.1. Кассовые операции, за исключением размена банкнот, монеты Банка России одного номинала на банкноты, монету Банка России другого номинала, оформляются приходными кассовыми ордерами 0310001, расходными кассовыми ордерами 0310002 (далее - кассовые документы). Размен банкнот, монеты Банка России одного номинала на банкноты, монету Банка России другого номинала осуществляется на основании оформленной кассиром квитанции о размене наличных денег, в которой проставляются наименование юридического лица, индивидуального предпринимателя, дата совершения операции, сумма наличных денег цифрами и прописью, подпись кассира.". </w:t>
      </w:r>
    </w:p>
    <w:p w14:paraId="46356FF0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lastRenderedPageBreak/>
        <w:t xml:space="preserve">1.3. </w:t>
      </w:r>
      <w:hyperlink r:id="rId9" w:history="1">
        <w:r>
          <w:rPr>
            <w:rStyle w:val="a3"/>
          </w:rPr>
          <w:t>Абзац второй подпункта 5.1 пункта 5</w:t>
        </w:r>
      </w:hyperlink>
      <w:r>
        <w:t xml:space="preserve"> дополнить предложением следующего содержания: "Прием наличных денег, полученных в кредитной организации, допускается осуществлять в упаковке кредитной организации полными и неполными пачками банкнот по надписям на верхних накладках пачек банкнот с проверкой количества корешков, целости упаковки, наличия реквизитов на верхних накладках пачек банкнот, пломбах, оттисках клише; мешками с монетой по надписям на ярлыках к мешкам с монетой с проверкой целости упаковки, наличия реквизитов на пломбах, оттисках клише и ярлыках к мешкам с монетой.". </w:t>
      </w:r>
    </w:p>
    <w:p w14:paraId="0B141DA9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1.4. </w:t>
      </w:r>
      <w:hyperlink r:id="rId10" w:history="1">
        <w:r>
          <w:rPr>
            <w:rStyle w:val="a3"/>
          </w:rPr>
          <w:t>Дополнить</w:t>
        </w:r>
      </w:hyperlink>
      <w:r>
        <w:t xml:space="preserve"> пунктом 6(1) следующего содержания: </w:t>
      </w:r>
    </w:p>
    <w:p w14:paraId="1DC29D36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"6(1). При осуществлении размена банкнот, монеты Банка России одного номинала на банкноты, монету Банка России другого номинала кассир принимает от </w:t>
      </w:r>
      <w:proofErr w:type="spellStart"/>
      <w:r>
        <w:t>вносителя</w:t>
      </w:r>
      <w:proofErr w:type="spellEnd"/>
      <w:r>
        <w:t xml:space="preserve"> наличные деньги полистным, поштучным пересчетом под наблюдением </w:t>
      </w:r>
      <w:proofErr w:type="spellStart"/>
      <w:r>
        <w:t>вносителя</w:t>
      </w:r>
      <w:proofErr w:type="spellEnd"/>
      <w:r>
        <w:t xml:space="preserve"> наличных денег и осуществляет контроль их платежеспособности в соответствии с </w:t>
      </w:r>
      <w:hyperlink r:id="rId11" w:history="1">
        <w:r>
          <w:rPr>
            <w:rStyle w:val="a3"/>
          </w:rPr>
          <w:t>Указанием</w:t>
        </w:r>
      </w:hyperlink>
      <w:r>
        <w:t xml:space="preserve"> Банка России N 1778-У. Кассир пересчитывает подготовленную к выдаче сумму наличных денег таким образом, чтобы получатель наличных денег мог наблюдать за его действиями, и выдает получателю наличные деньги полистным, поштучным пересчетом в сумме принятых наличных денег, указанной в квитанции о размене наличных денег. Выдача кассиром банкнот Банка России, имеющих одно и более повреждений, указанных в </w:t>
      </w:r>
      <w:hyperlink r:id="rId12" w:history="1">
        <w:r>
          <w:rPr>
            <w:rStyle w:val="a3"/>
          </w:rPr>
          <w:t>абзацах шестом</w:t>
        </w:r>
      </w:hyperlink>
      <w:r>
        <w:t xml:space="preserve"> - </w:t>
      </w:r>
      <w:hyperlink r:id="rId13" w:history="1">
        <w:r>
          <w:rPr>
            <w:rStyle w:val="a3"/>
          </w:rPr>
          <w:t>пятнадцатом пункта 2.9</w:t>
        </w:r>
      </w:hyperlink>
      <w:r>
        <w:t xml:space="preserve"> Положения Банка России N 630-П, не допускается.". </w:t>
      </w:r>
    </w:p>
    <w:p w14:paraId="4E15D8AA" w14:textId="77777777" w:rsidR="0065035F" w:rsidRDefault="0065035F" w:rsidP="0065035F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2. 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15 декабря 2023 года N ПСД-48) вступает в силу с 1 октября 2024 года. </w:t>
      </w:r>
    </w:p>
    <w:p w14:paraId="3725C681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3F3D070C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right"/>
      </w:pPr>
      <w:r>
        <w:t xml:space="preserve">Председатель Центрального банка </w:t>
      </w:r>
    </w:p>
    <w:p w14:paraId="23443C71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right"/>
      </w:pPr>
      <w:r>
        <w:t xml:space="preserve">Российской Федерации </w:t>
      </w:r>
    </w:p>
    <w:p w14:paraId="0BCF6FCE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right"/>
      </w:pPr>
      <w:r>
        <w:t xml:space="preserve">Э.С.НАБИУЛЛИНА </w:t>
      </w:r>
    </w:p>
    <w:p w14:paraId="3000E084" w14:textId="77777777" w:rsidR="0065035F" w:rsidRDefault="0065035F" w:rsidP="0065035F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2CB20803" w14:textId="77777777" w:rsidR="0065035F" w:rsidRPr="004622B2" w:rsidRDefault="0065035F" w:rsidP="0065035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79635F0" w14:textId="77777777" w:rsidR="003072AF" w:rsidRDefault="003072AF"/>
    <w:sectPr w:rsidR="003072AF" w:rsidSect="009D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5F"/>
    <w:rsid w:val="003072AF"/>
    <w:rsid w:val="0065035F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9CF14"/>
  <w15:chartTrackingRefBased/>
  <w15:docId w15:val="{2F7B22DD-1F8D-4046-BCE7-083B23C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35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35F"/>
    <w:rPr>
      <w:color w:val="0000FF"/>
      <w:u w:val="single"/>
    </w:rPr>
  </w:style>
  <w:style w:type="paragraph" w:styleId="a4">
    <w:basedOn w:val="a"/>
    <w:next w:val="a5"/>
    <w:uiPriority w:val="99"/>
    <w:unhideWhenUsed/>
    <w:rsid w:val="00650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6503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257&amp;dst=2&amp;field=134&amp;date=11.03.2024" TargetMode="External"/><Relationship Id="rId13" Type="http://schemas.openxmlformats.org/officeDocument/2006/relationships/hyperlink" Target="https://login.consultant.ru/link/?req=doc&amp;base=LAW&amp;n=470044&amp;dst=100123&amp;field=134&amp;date=11.03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257&amp;dst=100008&amp;field=134&amp;date=11.03.2024" TargetMode="External"/><Relationship Id="rId12" Type="http://schemas.openxmlformats.org/officeDocument/2006/relationships/hyperlink" Target="https://login.consultant.ru/link/?req=doc&amp;base=LAW&amp;n=470044&amp;dst=258&amp;field=134&amp;date=11.03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257&amp;date=11.03.2024" TargetMode="External"/><Relationship Id="rId11" Type="http://schemas.openxmlformats.org/officeDocument/2006/relationships/hyperlink" Target="https://login.consultant.ru/link/?req=doc&amp;base=LAW&amp;n=168425&amp;date=11.03.2024" TargetMode="External"/><Relationship Id="rId5" Type="http://schemas.openxmlformats.org/officeDocument/2006/relationships/hyperlink" Target="https://login.consultant.ru/link/?req=doc&amp;base=LAW&amp;n=454032&amp;dst=100238&amp;field=134&amp;date=11.03.20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8257&amp;date=11.03.2024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LAW&amp;n=368257&amp;dst=23&amp;field=134&amp;date=11.03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2024-04-22T10:04:00Z</dcterms:created>
  <dcterms:modified xsi:type="dcterms:W3CDTF">2024-04-22T10:04:00Z</dcterms:modified>
</cp:coreProperties>
</file>