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07AC" w14:textId="77777777" w:rsidR="00034BD1" w:rsidRPr="004622B2" w:rsidRDefault="00034BD1" w:rsidP="00034BD1">
      <w:pPr>
        <w:autoSpaceDE w:val="0"/>
        <w:autoSpaceDN w:val="0"/>
        <w:adjustRightInd w:val="0"/>
        <w:spacing w:after="0" w:line="240" w:lineRule="auto"/>
        <w:jc w:val="both"/>
        <w:rPr>
          <w:rFonts w:cs="Calibri"/>
          <w:i/>
          <w:color w:val="0070C0"/>
          <w:u w:val="single"/>
        </w:rPr>
      </w:pPr>
      <w:r>
        <w:t xml:space="preserve">Документ предоставлен </w:t>
      </w:r>
      <w:hyperlink r:id="rId4" w:history="1">
        <w:proofErr w:type="spellStart"/>
        <w:r>
          <w:rPr>
            <w:color w:val="0000FF"/>
          </w:rPr>
          <w:t>КонсультантПлюс</w:t>
        </w:r>
        <w:proofErr w:type="spellEnd"/>
      </w:hyperlink>
    </w:p>
    <w:p w14:paraId="6F9E1B96" w14:textId="77777777" w:rsidR="00034BD1" w:rsidRDefault="00034BD1" w:rsidP="00034BD1">
      <w:pPr>
        <w:autoSpaceDE w:val="0"/>
        <w:autoSpaceDN w:val="0"/>
        <w:adjustRightInd w:val="0"/>
        <w:spacing w:after="0" w:line="240" w:lineRule="auto"/>
        <w:jc w:val="both"/>
        <w:rPr>
          <w:rFonts w:cs="Calibri"/>
          <w:sz w:val="24"/>
          <w:szCs w:val="24"/>
        </w:rPr>
      </w:pPr>
    </w:p>
    <w:p w14:paraId="1F953BFC" w14:textId="77777777" w:rsidR="00034BD1" w:rsidRDefault="00034BD1" w:rsidP="00034BD1">
      <w:pPr>
        <w:autoSpaceDE w:val="0"/>
        <w:autoSpaceDN w:val="0"/>
        <w:adjustRightInd w:val="0"/>
        <w:spacing w:after="0" w:line="240" w:lineRule="auto"/>
        <w:jc w:val="both"/>
        <w:rPr>
          <w:rFonts w:cs="Calibri"/>
          <w:sz w:val="24"/>
          <w:szCs w:val="24"/>
        </w:rPr>
      </w:pPr>
    </w:p>
    <w:p w14:paraId="3B2AFB01" w14:textId="77777777" w:rsidR="00034BD1" w:rsidRDefault="00034BD1" w:rsidP="00034BD1">
      <w:pPr>
        <w:autoSpaceDE w:val="0"/>
        <w:autoSpaceDN w:val="0"/>
        <w:adjustRightInd w:val="0"/>
        <w:spacing w:after="0" w:line="240" w:lineRule="auto"/>
        <w:jc w:val="both"/>
        <w:rPr>
          <w:rFonts w:cs="Calibri"/>
          <w:sz w:val="24"/>
          <w:szCs w:val="24"/>
        </w:rPr>
      </w:pPr>
    </w:p>
    <w:p w14:paraId="7AEC21A3"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4FD366F8"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4 августа 2023 года N 414-ФЗ</w:t>
      </w:r>
    </w:p>
    <w:p w14:paraId="7C222290"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4494F2C9"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132E841" w14:textId="77777777" w:rsidR="00034BD1" w:rsidRPr="00463772" w:rsidRDefault="00034BD1" w:rsidP="00034BD1">
      <w:pPr>
        <w:spacing w:after="0" w:line="240" w:lineRule="auto"/>
        <w:jc w:val="center"/>
        <w:rPr>
          <w:rFonts w:ascii="Arial" w:eastAsia="Times New Roman" w:hAnsi="Arial" w:cs="Arial"/>
          <w:b/>
          <w:bCs/>
          <w:sz w:val="24"/>
          <w:szCs w:val="24"/>
          <w:lang w:eastAsia="ru-RU"/>
        </w:rPr>
      </w:pPr>
      <w:r w:rsidRPr="00463772">
        <w:rPr>
          <w:rFonts w:ascii="Arial" w:eastAsia="Times New Roman" w:hAnsi="Arial" w:cs="Arial"/>
          <w:b/>
          <w:bCs/>
          <w:sz w:val="24"/>
          <w:szCs w:val="24"/>
          <w:lang w:eastAsia="ru-RU"/>
        </w:rPr>
        <w:t xml:space="preserve">РОССИЙСКАЯ ФЕДЕРАЦИЯ </w:t>
      </w:r>
    </w:p>
    <w:p w14:paraId="3904DA48" w14:textId="77777777" w:rsidR="00034BD1" w:rsidRPr="00463772" w:rsidRDefault="00034BD1" w:rsidP="00034BD1">
      <w:pPr>
        <w:spacing w:after="0" w:line="240" w:lineRule="auto"/>
        <w:jc w:val="center"/>
        <w:rPr>
          <w:rFonts w:ascii="Arial" w:eastAsia="Times New Roman" w:hAnsi="Arial" w:cs="Arial"/>
          <w:b/>
          <w:bCs/>
          <w:sz w:val="24"/>
          <w:szCs w:val="24"/>
          <w:lang w:eastAsia="ru-RU"/>
        </w:rPr>
      </w:pPr>
      <w:r w:rsidRPr="00463772">
        <w:rPr>
          <w:rFonts w:ascii="Arial" w:eastAsia="Times New Roman" w:hAnsi="Arial" w:cs="Arial"/>
          <w:b/>
          <w:bCs/>
          <w:sz w:val="24"/>
          <w:szCs w:val="24"/>
          <w:lang w:eastAsia="ru-RU"/>
        </w:rPr>
        <w:t xml:space="preserve">  </w:t>
      </w:r>
    </w:p>
    <w:p w14:paraId="0A36DFBD" w14:textId="77777777" w:rsidR="00034BD1" w:rsidRPr="00463772" w:rsidRDefault="00034BD1" w:rsidP="00034BD1">
      <w:pPr>
        <w:spacing w:after="0" w:line="240" w:lineRule="auto"/>
        <w:jc w:val="center"/>
        <w:rPr>
          <w:rFonts w:ascii="Arial" w:eastAsia="Times New Roman" w:hAnsi="Arial" w:cs="Arial"/>
          <w:b/>
          <w:bCs/>
          <w:sz w:val="24"/>
          <w:szCs w:val="24"/>
          <w:lang w:eastAsia="ru-RU"/>
        </w:rPr>
      </w:pPr>
      <w:r w:rsidRPr="00463772">
        <w:rPr>
          <w:rFonts w:ascii="Arial" w:eastAsia="Times New Roman" w:hAnsi="Arial" w:cs="Arial"/>
          <w:b/>
          <w:bCs/>
          <w:sz w:val="24"/>
          <w:szCs w:val="24"/>
          <w:lang w:eastAsia="ru-RU"/>
        </w:rPr>
        <w:t xml:space="preserve">ФЕДЕРАЛЬНЫЙ ЗАКОН </w:t>
      </w:r>
    </w:p>
    <w:p w14:paraId="7632187E" w14:textId="77777777" w:rsidR="00034BD1" w:rsidRPr="00463772" w:rsidRDefault="00034BD1" w:rsidP="00034BD1">
      <w:pPr>
        <w:spacing w:after="0" w:line="240" w:lineRule="auto"/>
        <w:jc w:val="center"/>
        <w:rPr>
          <w:rFonts w:ascii="Arial" w:eastAsia="Times New Roman" w:hAnsi="Arial" w:cs="Arial"/>
          <w:b/>
          <w:bCs/>
          <w:sz w:val="24"/>
          <w:szCs w:val="24"/>
          <w:lang w:eastAsia="ru-RU"/>
        </w:rPr>
      </w:pPr>
      <w:r w:rsidRPr="00463772">
        <w:rPr>
          <w:rFonts w:ascii="Arial" w:eastAsia="Times New Roman" w:hAnsi="Arial" w:cs="Arial"/>
          <w:b/>
          <w:bCs/>
          <w:sz w:val="24"/>
          <w:szCs w:val="24"/>
          <w:lang w:eastAsia="ru-RU"/>
        </w:rPr>
        <w:t xml:space="preserve">  </w:t>
      </w:r>
    </w:p>
    <w:p w14:paraId="7AE29ADF" w14:textId="77777777" w:rsidR="00034BD1" w:rsidRPr="00463772" w:rsidRDefault="00034BD1" w:rsidP="00034BD1">
      <w:pPr>
        <w:spacing w:after="0" w:line="240" w:lineRule="auto"/>
        <w:jc w:val="center"/>
        <w:rPr>
          <w:rFonts w:ascii="Arial" w:eastAsia="Times New Roman" w:hAnsi="Arial" w:cs="Arial"/>
          <w:b/>
          <w:bCs/>
          <w:sz w:val="24"/>
          <w:szCs w:val="24"/>
          <w:lang w:eastAsia="ru-RU"/>
        </w:rPr>
      </w:pPr>
      <w:r w:rsidRPr="00463772">
        <w:rPr>
          <w:rFonts w:ascii="Arial" w:eastAsia="Times New Roman" w:hAnsi="Arial" w:cs="Arial"/>
          <w:b/>
          <w:bCs/>
          <w:sz w:val="24"/>
          <w:szCs w:val="24"/>
          <w:lang w:eastAsia="ru-RU"/>
        </w:rPr>
        <w:t xml:space="preserve">О НАЛОГЕ НА СВЕРХПРИБЫЛЬ </w:t>
      </w:r>
    </w:p>
    <w:p w14:paraId="625C5C03"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0C42DACD"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Принят </w:t>
      </w:r>
    </w:p>
    <w:p w14:paraId="7BD099AD"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Государственной Думой </w:t>
      </w:r>
    </w:p>
    <w:p w14:paraId="0CA46C53"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21 июля 2023 года </w:t>
      </w:r>
    </w:p>
    <w:p w14:paraId="1ADC63FA"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13F42DAA"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Одобрен </w:t>
      </w:r>
    </w:p>
    <w:p w14:paraId="19887CF2"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Советом Федерации </w:t>
      </w:r>
    </w:p>
    <w:p w14:paraId="242E0D82"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28 июля 2023 года </w:t>
      </w:r>
    </w:p>
    <w:p w14:paraId="15C8F38B"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5933E1A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Arial" w:eastAsia="Times New Roman" w:hAnsi="Arial" w:cs="Arial"/>
          <w:b/>
          <w:bCs/>
          <w:sz w:val="24"/>
          <w:szCs w:val="24"/>
          <w:lang w:eastAsia="ru-RU"/>
        </w:rPr>
        <w:t>Статья 1. Общие положения</w:t>
      </w:r>
      <w:r w:rsidRPr="00463772">
        <w:rPr>
          <w:rFonts w:ascii="Times New Roman" w:eastAsia="Times New Roman" w:hAnsi="Times New Roman"/>
          <w:sz w:val="24"/>
          <w:szCs w:val="24"/>
          <w:lang w:eastAsia="ru-RU"/>
        </w:rPr>
        <w:t xml:space="preserve"> </w:t>
      </w:r>
    </w:p>
    <w:p w14:paraId="3663B7ED"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A93E228"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В соответствии с пунктом 8 </w:t>
      </w:r>
      <w:hyperlink r:id="rId5" w:history="1">
        <w:r w:rsidRPr="00463772">
          <w:rPr>
            <w:rFonts w:ascii="Times New Roman" w:eastAsia="Times New Roman" w:hAnsi="Times New Roman"/>
            <w:color w:val="0000FF"/>
            <w:sz w:val="24"/>
            <w:szCs w:val="24"/>
            <w:u w:val="single"/>
            <w:lang w:eastAsia="ru-RU"/>
          </w:rPr>
          <w:t>статьи 12</w:t>
        </w:r>
      </w:hyperlink>
      <w:r w:rsidRPr="00463772">
        <w:rPr>
          <w:rFonts w:ascii="Times New Roman" w:eastAsia="Times New Roman" w:hAnsi="Times New Roman"/>
          <w:sz w:val="24"/>
          <w:szCs w:val="24"/>
          <w:lang w:eastAsia="ru-RU"/>
        </w:rPr>
        <w:t xml:space="preserve"> Налогового кодекса Российской Федерации настоящим Федеральным законом устанавливается налог на сверхприбыль (далее - налог), являющийся налогом разового характера. </w:t>
      </w:r>
    </w:p>
    <w:p w14:paraId="0657D0F5"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71F7F1D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Arial" w:eastAsia="Times New Roman" w:hAnsi="Arial" w:cs="Arial"/>
          <w:b/>
          <w:bCs/>
          <w:sz w:val="24"/>
          <w:szCs w:val="24"/>
          <w:lang w:eastAsia="ru-RU"/>
        </w:rPr>
        <w:t>Статья 2. Налогоплательщики налога</w:t>
      </w:r>
      <w:r w:rsidRPr="00463772">
        <w:rPr>
          <w:rFonts w:ascii="Times New Roman" w:eastAsia="Times New Roman" w:hAnsi="Times New Roman"/>
          <w:sz w:val="24"/>
          <w:szCs w:val="24"/>
          <w:lang w:eastAsia="ru-RU"/>
        </w:rPr>
        <w:t xml:space="preserve"> </w:t>
      </w:r>
    </w:p>
    <w:p w14:paraId="5006813A"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4987519"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 Налогоплательщиками налога признаются российские организации и иностранные организации, осуществляющие свою деятельность в Российской Федерации через постоянные представительства, определяемые в соответствии с </w:t>
      </w:r>
      <w:hyperlink r:id="rId6" w:history="1">
        <w:r w:rsidRPr="00463772">
          <w:rPr>
            <w:rFonts w:ascii="Times New Roman" w:eastAsia="Times New Roman" w:hAnsi="Times New Roman"/>
            <w:color w:val="0000FF"/>
            <w:sz w:val="24"/>
            <w:szCs w:val="24"/>
            <w:u w:val="single"/>
            <w:lang w:eastAsia="ru-RU"/>
          </w:rPr>
          <w:t>пунктом 2 статьи 306</w:t>
        </w:r>
      </w:hyperlink>
      <w:r w:rsidRPr="00463772">
        <w:rPr>
          <w:rFonts w:ascii="Times New Roman" w:eastAsia="Times New Roman" w:hAnsi="Times New Roman"/>
          <w:sz w:val="24"/>
          <w:szCs w:val="24"/>
          <w:lang w:eastAsia="ru-RU"/>
        </w:rPr>
        <w:t xml:space="preserve"> Налогового кодекса Российской Федерации. В целях настоящего Федерального закона к российским организациям приравниваются иностранные организации, признаваемые налоговыми резидентами Российской Федерации в порядке, установленном </w:t>
      </w:r>
      <w:hyperlink r:id="rId7" w:history="1">
        <w:r w:rsidRPr="00463772">
          <w:rPr>
            <w:rFonts w:ascii="Times New Roman" w:eastAsia="Times New Roman" w:hAnsi="Times New Roman"/>
            <w:color w:val="0000FF"/>
            <w:sz w:val="24"/>
            <w:szCs w:val="24"/>
            <w:u w:val="single"/>
            <w:lang w:eastAsia="ru-RU"/>
          </w:rPr>
          <w:t>статьей 246.2</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07D1108F"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0" w:name="p25"/>
      <w:bookmarkEnd w:id="0"/>
      <w:r w:rsidRPr="00463772">
        <w:rPr>
          <w:rFonts w:ascii="Times New Roman" w:eastAsia="Times New Roman" w:hAnsi="Times New Roman"/>
          <w:sz w:val="24"/>
          <w:szCs w:val="24"/>
          <w:lang w:eastAsia="ru-RU"/>
        </w:rPr>
        <w:t xml:space="preserve">2. Организации, являвшиеся в 2022 году в соответствии со </w:t>
      </w:r>
      <w:hyperlink r:id="rId8" w:history="1">
        <w:r w:rsidRPr="00463772">
          <w:rPr>
            <w:rFonts w:ascii="Times New Roman" w:eastAsia="Times New Roman" w:hAnsi="Times New Roman"/>
            <w:color w:val="0000FF"/>
            <w:sz w:val="24"/>
            <w:szCs w:val="24"/>
            <w:u w:val="single"/>
            <w:lang w:eastAsia="ru-RU"/>
          </w:rPr>
          <w:t>статьей 25.1</w:t>
        </w:r>
      </w:hyperlink>
      <w:r w:rsidRPr="00463772">
        <w:rPr>
          <w:rFonts w:ascii="Times New Roman" w:eastAsia="Times New Roman" w:hAnsi="Times New Roman"/>
          <w:sz w:val="24"/>
          <w:szCs w:val="24"/>
          <w:lang w:eastAsia="ru-RU"/>
        </w:rPr>
        <w:t xml:space="preserve"> Налогового кодекса Российской Федерации ответственными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w:t>
        </w:r>
      </w:hyperlink>
      <w:r w:rsidRPr="00463772">
        <w:rPr>
          <w:rFonts w:ascii="Times New Roman" w:eastAsia="Times New Roman" w:hAnsi="Times New Roman"/>
          <w:sz w:val="24"/>
          <w:szCs w:val="24"/>
          <w:lang w:eastAsia="ru-RU"/>
        </w:rPr>
        <w:t xml:space="preserve"> настоящей статьи, признаются налогоплательщиками налога (только в отношении российских организаций, которые по состоянию на 31 декабря 2022 года являлись участниками соответствующей консолидированной группы налогоплательщиков). </w:t>
      </w:r>
    </w:p>
    <w:p w14:paraId="7A74F49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3. Российские организации, являвшиеся по состоянию на 31 декабря 2022 года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w:t>
        </w:r>
      </w:hyperlink>
      <w:r w:rsidRPr="00463772">
        <w:rPr>
          <w:rFonts w:ascii="Times New Roman" w:eastAsia="Times New Roman" w:hAnsi="Times New Roman"/>
          <w:sz w:val="24"/>
          <w:szCs w:val="24"/>
          <w:lang w:eastAsia="ru-RU"/>
        </w:rPr>
        <w:t xml:space="preserve"> настоящей статьи, исполняют обязанности налогоплательщика налога только в части, необходимой для его исчисления налогоплательщиками, указанными в </w:t>
      </w:r>
      <w:hyperlink w:anchor="p25" w:history="1">
        <w:r w:rsidRPr="00463772">
          <w:rPr>
            <w:rFonts w:ascii="Times New Roman" w:eastAsia="Times New Roman" w:hAnsi="Times New Roman"/>
            <w:color w:val="0000FF"/>
            <w:sz w:val="24"/>
            <w:szCs w:val="24"/>
            <w:u w:val="single"/>
            <w:lang w:eastAsia="ru-RU"/>
          </w:rPr>
          <w:t>части 2</w:t>
        </w:r>
      </w:hyperlink>
      <w:r w:rsidRPr="00463772">
        <w:rPr>
          <w:rFonts w:ascii="Times New Roman" w:eastAsia="Times New Roman" w:hAnsi="Times New Roman"/>
          <w:sz w:val="24"/>
          <w:szCs w:val="24"/>
          <w:lang w:eastAsia="ru-RU"/>
        </w:rPr>
        <w:t xml:space="preserve"> настоящей статьи. </w:t>
      </w:r>
    </w:p>
    <w:p w14:paraId="73D76ED6"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4. Не признаются налогоплательщиками: </w:t>
      </w:r>
    </w:p>
    <w:p w14:paraId="2AC3F3D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 организации, включенные по состоянию на 31 декабря 2022 года в единый реестр субъектов малого и среднего предпринимательства; </w:t>
      </w:r>
    </w:p>
    <w:p w14:paraId="3A6F435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lastRenderedPageBreak/>
        <w:t xml:space="preserve">2) российские организации, созданные после 1 января 2021 года, за исключением организаций, созданных в результате реорганизации организаций, действующих до 1 января 2021 года; </w:t>
      </w:r>
    </w:p>
    <w:p w14:paraId="5976790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3) иностранные организации, начавшие осуществлять свою деятельность в Российской Федерации через постоянные представительства после 1 января 2021 года; </w:t>
      </w:r>
    </w:p>
    <w:p w14:paraId="310EE6E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1" w:name="p31"/>
      <w:bookmarkEnd w:id="1"/>
      <w:r w:rsidRPr="00463772">
        <w:rPr>
          <w:rFonts w:ascii="Times New Roman" w:eastAsia="Times New Roman" w:hAnsi="Times New Roman"/>
          <w:sz w:val="24"/>
          <w:szCs w:val="24"/>
          <w:lang w:eastAsia="ru-RU"/>
        </w:rPr>
        <w:t xml:space="preserve">4) организации, осуществлявшие в течение 2022 года добычу углеводородного сырья на участке недр, предоставленном таким организациям в пользование в соответствии с законодательством Российской Федерации; </w:t>
      </w:r>
    </w:p>
    <w:p w14:paraId="23BC0295"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5) организации, осуществлявшие в течение 2022 года добычу угля на участке недр, предоставленном таким организациям в пользование в соответствии с законодательством Российской Федерации; </w:t>
      </w:r>
    </w:p>
    <w:p w14:paraId="7EBBD47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2" w:name="p33"/>
      <w:bookmarkEnd w:id="2"/>
      <w:r w:rsidRPr="00463772">
        <w:rPr>
          <w:rFonts w:ascii="Times New Roman" w:eastAsia="Times New Roman" w:hAnsi="Times New Roman"/>
          <w:sz w:val="24"/>
          <w:szCs w:val="24"/>
          <w:lang w:eastAsia="ru-RU"/>
        </w:rPr>
        <w:t xml:space="preserve">6) организации, имевшие по состоянию на 31 декабря 2022 года свидетельство о регистрации лица, совершающего операции по переработке нефтяного сырья, и определявшие не менее чем в шести налоговых периодах по акцизам, приходящихся на 2022 год, величину КДЕМП, отличную от нуля, при расчете вычета сумм акциза в соответствии с </w:t>
      </w:r>
      <w:hyperlink r:id="rId9" w:history="1">
        <w:r w:rsidRPr="00463772">
          <w:rPr>
            <w:rFonts w:ascii="Times New Roman" w:eastAsia="Times New Roman" w:hAnsi="Times New Roman"/>
            <w:color w:val="0000FF"/>
            <w:sz w:val="24"/>
            <w:szCs w:val="24"/>
            <w:u w:val="single"/>
            <w:lang w:eastAsia="ru-RU"/>
          </w:rPr>
          <w:t>пунктом 27 статьи 200</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06D38865"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7) организации, являвшиеся в 2022 году участниками консолидированной группы налогоплательщиков, в состав которой в 2022 году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и (или) </w:t>
      </w:r>
      <w:hyperlink w:anchor="p33" w:history="1">
        <w:r w:rsidRPr="00463772">
          <w:rPr>
            <w:rFonts w:ascii="Times New Roman" w:eastAsia="Times New Roman" w:hAnsi="Times New Roman"/>
            <w:color w:val="0000FF"/>
            <w:sz w:val="24"/>
            <w:szCs w:val="24"/>
            <w:u w:val="single"/>
            <w:lang w:eastAsia="ru-RU"/>
          </w:rPr>
          <w:t>6</w:t>
        </w:r>
      </w:hyperlink>
      <w:r w:rsidRPr="00463772">
        <w:rPr>
          <w:rFonts w:ascii="Times New Roman" w:eastAsia="Times New Roman" w:hAnsi="Times New Roman"/>
          <w:sz w:val="24"/>
          <w:szCs w:val="24"/>
          <w:lang w:eastAsia="ru-RU"/>
        </w:rPr>
        <w:t xml:space="preserve"> настоящей части; </w:t>
      </w:r>
    </w:p>
    <w:p w14:paraId="7C243B2B"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8) организации, имевшие по состоянию на 31 декабря 2022 года свидетельство о регистрации лица, совершающего операции по переработке нефтяного сырья, и действующий договор об оказании услуг по переработке нефтяного сырья организации, отвечающей требованиям </w:t>
      </w:r>
      <w:hyperlink w:anchor="p31" w:history="1">
        <w:r w:rsidRPr="00463772">
          <w:rPr>
            <w:rFonts w:ascii="Times New Roman" w:eastAsia="Times New Roman" w:hAnsi="Times New Roman"/>
            <w:color w:val="0000FF"/>
            <w:sz w:val="24"/>
            <w:szCs w:val="24"/>
            <w:u w:val="single"/>
            <w:lang w:eastAsia="ru-RU"/>
          </w:rPr>
          <w:t>пунктов 4</w:t>
        </w:r>
      </w:hyperlink>
      <w:r w:rsidRPr="00463772">
        <w:rPr>
          <w:rFonts w:ascii="Times New Roman" w:eastAsia="Times New Roman" w:hAnsi="Times New Roman"/>
          <w:sz w:val="24"/>
          <w:szCs w:val="24"/>
          <w:lang w:eastAsia="ru-RU"/>
        </w:rPr>
        <w:t xml:space="preserve"> и (или) </w:t>
      </w:r>
      <w:hyperlink w:anchor="p33" w:history="1">
        <w:r w:rsidRPr="00463772">
          <w:rPr>
            <w:rFonts w:ascii="Times New Roman" w:eastAsia="Times New Roman" w:hAnsi="Times New Roman"/>
            <w:color w:val="0000FF"/>
            <w:sz w:val="24"/>
            <w:szCs w:val="24"/>
            <w:u w:val="single"/>
            <w:lang w:eastAsia="ru-RU"/>
          </w:rPr>
          <w:t>6</w:t>
        </w:r>
      </w:hyperlink>
      <w:r w:rsidRPr="00463772">
        <w:rPr>
          <w:rFonts w:ascii="Times New Roman" w:eastAsia="Times New Roman" w:hAnsi="Times New Roman"/>
          <w:sz w:val="24"/>
          <w:szCs w:val="24"/>
          <w:lang w:eastAsia="ru-RU"/>
        </w:rPr>
        <w:t xml:space="preserve"> настоящей части; </w:t>
      </w:r>
    </w:p>
    <w:p w14:paraId="14FECE78"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9) организации, которые осуществляют деятельность по производству сжиженного природного газа и до 31 декабря 2022 года включительно осуществили экспорт хотя бы одной партии сжиженного природного газа на основании лицензии на осуществление исключительного права на экспорт газа в соответствии с </w:t>
      </w:r>
      <w:hyperlink r:id="rId10" w:history="1">
        <w:r w:rsidRPr="00463772">
          <w:rPr>
            <w:rFonts w:ascii="Times New Roman" w:eastAsia="Times New Roman" w:hAnsi="Times New Roman"/>
            <w:color w:val="0000FF"/>
            <w:sz w:val="24"/>
            <w:szCs w:val="24"/>
            <w:u w:val="single"/>
            <w:lang w:eastAsia="ru-RU"/>
          </w:rPr>
          <w:t>пунктом 2 части 1.1 статьи 3</w:t>
        </w:r>
      </w:hyperlink>
      <w:r w:rsidRPr="00463772">
        <w:rPr>
          <w:rFonts w:ascii="Times New Roman" w:eastAsia="Times New Roman" w:hAnsi="Times New Roman"/>
          <w:sz w:val="24"/>
          <w:szCs w:val="24"/>
          <w:lang w:eastAsia="ru-RU"/>
        </w:rPr>
        <w:t xml:space="preserve"> Федерального закона от 18 июля 2006 года N 117-ФЗ "Об экспорте газа"; </w:t>
      </w:r>
    </w:p>
    <w:p w14:paraId="0E43902A"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10) российские организации, которые прямо участвуют в организации, указанной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и (или) </w:t>
      </w:r>
      <w:hyperlink w:anchor="p33" w:history="1">
        <w:r w:rsidRPr="00463772">
          <w:rPr>
            <w:rFonts w:ascii="Times New Roman" w:eastAsia="Times New Roman" w:hAnsi="Times New Roman"/>
            <w:color w:val="0000FF"/>
            <w:sz w:val="24"/>
            <w:szCs w:val="24"/>
            <w:u w:val="single"/>
            <w:lang w:eastAsia="ru-RU"/>
          </w:rPr>
          <w:t>6</w:t>
        </w:r>
      </w:hyperlink>
      <w:r w:rsidRPr="00463772">
        <w:rPr>
          <w:rFonts w:ascii="Times New Roman" w:eastAsia="Times New Roman" w:hAnsi="Times New Roman"/>
          <w:sz w:val="24"/>
          <w:szCs w:val="24"/>
          <w:lang w:eastAsia="ru-RU"/>
        </w:rPr>
        <w:t xml:space="preserve"> настоящей части, и доля участия в такой организации составляла по состоянию на 31 декабря 2022 года не менее 75 процентов; </w:t>
      </w:r>
    </w:p>
    <w:p w14:paraId="50FE421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11) организации, являющиеся налогоплательщиками единого сельскохозяйственного налога непрерывно с 1 января 2018 года по 31 декабря 2022 года включительно; </w:t>
      </w:r>
    </w:p>
    <w:p w14:paraId="453989D3"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12) организации, у которых за налоговые периоды по налогу на прибыль организаций за 2018 и 2019 годы отсутствовали доходы от реализации, определяемые в соответствии с положениями </w:t>
      </w:r>
      <w:hyperlink r:id="rId11" w:history="1">
        <w:r w:rsidRPr="00463772">
          <w:rPr>
            <w:rFonts w:ascii="Times New Roman" w:eastAsia="Times New Roman" w:hAnsi="Times New Roman"/>
            <w:color w:val="0000FF"/>
            <w:sz w:val="24"/>
            <w:szCs w:val="24"/>
            <w:u w:val="single"/>
            <w:lang w:eastAsia="ru-RU"/>
          </w:rPr>
          <w:t>статьи 249</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4B6942F6"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13) кредитные организации и </w:t>
      </w:r>
      <w:proofErr w:type="spellStart"/>
      <w:r w:rsidRPr="00463772">
        <w:rPr>
          <w:rFonts w:ascii="Times New Roman" w:eastAsia="Times New Roman" w:hAnsi="Times New Roman"/>
          <w:sz w:val="24"/>
          <w:szCs w:val="24"/>
          <w:lang w:eastAsia="ru-RU"/>
        </w:rPr>
        <w:t>некредитные</w:t>
      </w:r>
      <w:proofErr w:type="spellEnd"/>
      <w:r w:rsidRPr="00463772">
        <w:rPr>
          <w:rFonts w:ascii="Times New Roman" w:eastAsia="Times New Roman" w:hAnsi="Times New Roman"/>
          <w:sz w:val="24"/>
          <w:szCs w:val="24"/>
          <w:lang w:eastAsia="ru-RU"/>
        </w:rPr>
        <w:t xml:space="preserve"> финансовые организации, в отношении которых по состоянию на 1 января 2023 года осуществлялись меры по предупреждению банкротства с участием Центрального банка Российской Федерации или государственной корпорации "Агентство по страхованию вкладов"; </w:t>
      </w:r>
    </w:p>
    <w:p w14:paraId="203AB30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14) организации-застройщики, реализующие проекты с привлечением средств граждан - участников долевого строительства, размещенных на счетах </w:t>
      </w:r>
      <w:proofErr w:type="spellStart"/>
      <w:r w:rsidRPr="00463772">
        <w:rPr>
          <w:rFonts w:ascii="Times New Roman" w:eastAsia="Times New Roman" w:hAnsi="Times New Roman"/>
          <w:sz w:val="24"/>
          <w:szCs w:val="24"/>
          <w:lang w:eastAsia="ru-RU"/>
        </w:rPr>
        <w:t>эскроу</w:t>
      </w:r>
      <w:proofErr w:type="spellEnd"/>
      <w:r w:rsidRPr="00463772">
        <w:rPr>
          <w:rFonts w:ascii="Times New Roman" w:eastAsia="Times New Roman" w:hAnsi="Times New Roman"/>
          <w:sz w:val="24"/>
          <w:szCs w:val="24"/>
          <w:lang w:eastAsia="ru-RU"/>
        </w:rPr>
        <w:t xml:space="preserve"> в соответствии с Федеральным </w:t>
      </w:r>
      <w:hyperlink r:id="rId12" w:history="1">
        <w:r w:rsidRPr="00463772">
          <w:rPr>
            <w:rFonts w:ascii="Times New Roman" w:eastAsia="Times New Roman" w:hAnsi="Times New Roman"/>
            <w:color w:val="0000FF"/>
            <w:sz w:val="24"/>
            <w:szCs w:val="24"/>
            <w:u w:val="single"/>
            <w:lang w:eastAsia="ru-RU"/>
          </w:rPr>
          <w:t>законом</w:t>
        </w:r>
      </w:hyperlink>
      <w:r w:rsidRPr="00463772">
        <w:rPr>
          <w:rFonts w:ascii="Times New Roman" w:eastAsia="Times New Roman" w:hAnsi="Times New Roman"/>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которые в 2021 и 2022 годах не осуществляли выплату дивидендов. </w:t>
      </w:r>
    </w:p>
    <w:p w14:paraId="06F20CD3"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5. В настоящем Федеральном законе понятия "углеводородное сырье", "уголь" используются в значении, применяемом для целей </w:t>
      </w:r>
      <w:hyperlink r:id="rId13" w:history="1">
        <w:r w:rsidRPr="00463772">
          <w:rPr>
            <w:rFonts w:ascii="Times New Roman" w:eastAsia="Times New Roman" w:hAnsi="Times New Roman"/>
            <w:color w:val="0000FF"/>
            <w:sz w:val="24"/>
            <w:szCs w:val="24"/>
            <w:u w:val="single"/>
            <w:lang w:eastAsia="ru-RU"/>
          </w:rPr>
          <w:t>главы 26</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0EE2BDD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B9A9E8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3" w:name="p44"/>
      <w:bookmarkEnd w:id="3"/>
      <w:r w:rsidRPr="00463772">
        <w:rPr>
          <w:rFonts w:ascii="Arial" w:eastAsia="Times New Roman" w:hAnsi="Arial" w:cs="Arial"/>
          <w:b/>
          <w:bCs/>
          <w:sz w:val="24"/>
          <w:szCs w:val="24"/>
          <w:lang w:eastAsia="ru-RU"/>
        </w:rPr>
        <w:t>Статья 3. Объект налогообложения</w:t>
      </w:r>
      <w:r w:rsidRPr="00463772">
        <w:rPr>
          <w:rFonts w:ascii="Times New Roman" w:eastAsia="Times New Roman" w:hAnsi="Times New Roman"/>
          <w:sz w:val="24"/>
          <w:szCs w:val="24"/>
          <w:lang w:eastAsia="ru-RU"/>
        </w:rPr>
        <w:t xml:space="preserve"> </w:t>
      </w:r>
    </w:p>
    <w:p w14:paraId="65BF7ED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7E7134D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lastRenderedPageBreak/>
        <w:t xml:space="preserve">1. Объектом налогообложения налогом признается сверхприбыль, полученная налогоплательщиком. </w:t>
      </w:r>
    </w:p>
    <w:p w14:paraId="58046A2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4" w:name="p47"/>
      <w:bookmarkEnd w:id="4"/>
      <w:r w:rsidRPr="00463772">
        <w:rPr>
          <w:rFonts w:ascii="Times New Roman" w:eastAsia="Times New Roman" w:hAnsi="Times New Roman"/>
          <w:sz w:val="24"/>
          <w:szCs w:val="24"/>
          <w:lang w:eastAsia="ru-RU"/>
        </w:rPr>
        <w:t xml:space="preserve">2. Сверхприбыль определяется, если иное не установлено настоящей статьей,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 </w:t>
      </w:r>
    </w:p>
    <w:p w14:paraId="3C6847F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5" w:name="p48"/>
      <w:bookmarkEnd w:id="5"/>
      <w:r w:rsidRPr="00463772">
        <w:rPr>
          <w:rFonts w:ascii="Times New Roman" w:eastAsia="Times New Roman" w:hAnsi="Times New Roman"/>
          <w:sz w:val="24"/>
          <w:szCs w:val="24"/>
          <w:lang w:eastAsia="ru-RU"/>
        </w:rPr>
        <w:t xml:space="preserve">3. С учетом особенностей, предусмотренных </w:t>
      </w:r>
      <w:hyperlink w:anchor="p49" w:history="1">
        <w:r w:rsidRPr="00463772">
          <w:rPr>
            <w:rFonts w:ascii="Times New Roman" w:eastAsia="Times New Roman" w:hAnsi="Times New Roman"/>
            <w:color w:val="0000FF"/>
            <w:sz w:val="24"/>
            <w:szCs w:val="24"/>
            <w:u w:val="single"/>
            <w:lang w:eastAsia="ru-RU"/>
          </w:rPr>
          <w:t>частями 4</w:t>
        </w:r>
      </w:hyperlink>
      <w:r w:rsidRPr="00463772">
        <w:rPr>
          <w:rFonts w:ascii="Times New Roman" w:eastAsia="Times New Roman" w:hAnsi="Times New Roman"/>
          <w:sz w:val="24"/>
          <w:szCs w:val="24"/>
          <w:lang w:eastAsia="ru-RU"/>
        </w:rPr>
        <w:t xml:space="preserve"> - </w:t>
      </w:r>
      <w:hyperlink w:anchor="p57" w:history="1">
        <w:r w:rsidRPr="00463772">
          <w:rPr>
            <w:rFonts w:ascii="Times New Roman" w:eastAsia="Times New Roman" w:hAnsi="Times New Roman"/>
            <w:color w:val="0000FF"/>
            <w:sz w:val="24"/>
            <w:szCs w:val="24"/>
            <w:u w:val="single"/>
            <w:lang w:eastAsia="ru-RU"/>
          </w:rPr>
          <w:t>12</w:t>
        </w:r>
      </w:hyperlink>
      <w:r w:rsidRPr="00463772">
        <w:rPr>
          <w:rFonts w:ascii="Times New Roman" w:eastAsia="Times New Roman" w:hAnsi="Times New Roman"/>
          <w:sz w:val="24"/>
          <w:szCs w:val="24"/>
          <w:lang w:eastAsia="ru-RU"/>
        </w:rPr>
        <w:t xml:space="preserve"> настоящей статьи, прибыль для целей настоящего Федерального закона за соответствующий год исчисляется как сумма налоговых баз по налогу на прибыль организаций, определяемых в соответствии с положениями </w:t>
      </w:r>
      <w:hyperlink r:id="rId14" w:history="1">
        <w:r w:rsidRPr="00463772">
          <w:rPr>
            <w:rFonts w:ascii="Times New Roman" w:eastAsia="Times New Roman" w:hAnsi="Times New Roman"/>
            <w:color w:val="0000FF"/>
            <w:sz w:val="24"/>
            <w:szCs w:val="24"/>
            <w:u w:val="single"/>
            <w:lang w:eastAsia="ru-RU"/>
          </w:rPr>
          <w:t>статьи 274</w:t>
        </w:r>
      </w:hyperlink>
      <w:r w:rsidRPr="00463772">
        <w:rPr>
          <w:rFonts w:ascii="Times New Roman" w:eastAsia="Times New Roman" w:hAnsi="Times New Roman"/>
          <w:sz w:val="24"/>
          <w:szCs w:val="24"/>
          <w:lang w:eastAsia="ru-RU"/>
        </w:rPr>
        <w:t xml:space="preserve"> Налогового кодекса Российской Федерации за соответствующий год с учетом положений </w:t>
      </w:r>
      <w:hyperlink r:id="rId15" w:history="1">
        <w:r w:rsidRPr="00463772">
          <w:rPr>
            <w:rFonts w:ascii="Times New Roman" w:eastAsia="Times New Roman" w:hAnsi="Times New Roman"/>
            <w:color w:val="0000FF"/>
            <w:sz w:val="24"/>
            <w:szCs w:val="24"/>
            <w:u w:val="single"/>
            <w:lang w:eastAsia="ru-RU"/>
          </w:rPr>
          <w:t>статьи 283</w:t>
        </w:r>
      </w:hyperlink>
      <w:r w:rsidRPr="00463772">
        <w:rPr>
          <w:rFonts w:ascii="Times New Roman" w:eastAsia="Times New Roman" w:hAnsi="Times New Roman"/>
          <w:sz w:val="24"/>
          <w:szCs w:val="24"/>
          <w:lang w:eastAsia="ru-RU"/>
        </w:rPr>
        <w:t xml:space="preserve"> Налогового кодекса Российской Федерации. При этом не учитываются налоговые базы по налогу на прибыль организаций, к которой применяются налоговые ставки, предусмотренные </w:t>
      </w:r>
      <w:hyperlink r:id="rId16" w:history="1">
        <w:r w:rsidRPr="00463772">
          <w:rPr>
            <w:rFonts w:ascii="Times New Roman" w:eastAsia="Times New Roman" w:hAnsi="Times New Roman"/>
            <w:color w:val="0000FF"/>
            <w:sz w:val="24"/>
            <w:szCs w:val="24"/>
            <w:u w:val="single"/>
            <w:lang w:eastAsia="ru-RU"/>
          </w:rPr>
          <w:t>пунктами 1.6</w:t>
        </w:r>
      </w:hyperlink>
      <w:r w:rsidRPr="00463772">
        <w:rPr>
          <w:rFonts w:ascii="Times New Roman" w:eastAsia="Times New Roman" w:hAnsi="Times New Roman"/>
          <w:sz w:val="24"/>
          <w:szCs w:val="24"/>
          <w:lang w:eastAsia="ru-RU"/>
        </w:rPr>
        <w:t xml:space="preserve">, </w:t>
      </w:r>
      <w:hyperlink r:id="rId17" w:history="1">
        <w:r w:rsidRPr="00463772">
          <w:rPr>
            <w:rFonts w:ascii="Times New Roman" w:eastAsia="Times New Roman" w:hAnsi="Times New Roman"/>
            <w:color w:val="0000FF"/>
            <w:sz w:val="24"/>
            <w:szCs w:val="24"/>
            <w:u w:val="single"/>
            <w:lang w:eastAsia="ru-RU"/>
          </w:rPr>
          <w:t>1.14</w:t>
        </w:r>
      </w:hyperlink>
      <w:r w:rsidRPr="00463772">
        <w:rPr>
          <w:rFonts w:ascii="Times New Roman" w:eastAsia="Times New Roman" w:hAnsi="Times New Roman"/>
          <w:sz w:val="24"/>
          <w:szCs w:val="24"/>
          <w:lang w:eastAsia="ru-RU"/>
        </w:rPr>
        <w:t xml:space="preserve">, </w:t>
      </w:r>
      <w:hyperlink r:id="rId18" w:history="1">
        <w:r w:rsidRPr="00463772">
          <w:rPr>
            <w:rFonts w:ascii="Times New Roman" w:eastAsia="Times New Roman" w:hAnsi="Times New Roman"/>
            <w:color w:val="0000FF"/>
            <w:sz w:val="24"/>
            <w:szCs w:val="24"/>
            <w:u w:val="single"/>
            <w:lang w:eastAsia="ru-RU"/>
          </w:rPr>
          <w:t>3</w:t>
        </w:r>
      </w:hyperlink>
      <w:r w:rsidRPr="00463772">
        <w:rPr>
          <w:rFonts w:ascii="Times New Roman" w:eastAsia="Times New Roman" w:hAnsi="Times New Roman"/>
          <w:sz w:val="24"/>
          <w:szCs w:val="24"/>
          <w:lang w:eastAsia="ru-RU"/>
        </w:rPr>
        <w:t xml:space="preserve">, </w:t>
      </w:r>
      <w:hyperlink r:id="rId19" w:history="1">
        <w:r w:rsidRPr="00463772">
          <w:rPr>
            <w:rFonts w:ascii="Times New Roman" w:eastAsia="Times New Roman" w:hAnsi="Times New Roman"/>
            <w:color w:val="0000FF"/>
            <w:sz w:val="24"/>
            <w:szCs w:val="24"/>
            <w:u w:val="single"/>
            <w:lang w:eastAsia="ru-RU"/>
          </w:rPr>
          <w:t>4</w:t>
        </w:r>
      </w:hyperlink>
      <w:r w:rsidRPr="00463772">
        <w:rPr>
          <w:rFonts w:ascii="Times New Roman" w:eastAsia="Times New Roman" w:hAnsi="Times New Roman"/>
          <w:sz w:val="24"/>
          <w:szCs w:val="24"/>
          <w:lang w:eastAsia="ru-RU"/>
        </w:rPr>
        <w:t xml:space="preserve">, </w:t>
      </w:r>
      <w:hyperlink r:id="rId20" w:history="1">
        <w:r w:rsidRPr="00463772">
          <w:rPr>
            <w:rFonts w:ascii="Times New Roman" w:eastAsia="Times New Roman" w:hAnsi="Times New Roman"/>
            <w:color w:val="0000FF"/>
            <w:sz w:val="24"/>
            <w:szCs w:val="24"/>
            <w:u w:val="single"/>
            <w:lang w:eastAsia="ru-RU"/>
          </w:rPr>
          <w:t>4.1</w:t>
        </w:r>
      </w:hyperlink>
      <w:r w:rsidRPr="00463772">
        <w:rPr>
          <w:rFonts w:ascii="Times New Roman" w:eastAsia="Times New Roman" w:hAnsi="Times New Roman"/>
          <w:sz w:val="24"/>
          <w:szCs w:val="24"/>
          <w:lang w:eastAsia="ru-RU"/>
        </w:rPr>
        <w:t xml:space="preserve">, </w:t>
      </w:r>
      <w:hyperlink r:id="rId21" w:history="1">
        <w:r w:rsidRPr="00463772">
          <w:rPr>
            <w:rFonts w:ascii="Times New Roman" w:eastAsia="Times New Roman" w:hAnsi="Times New Roman"/>
            <w:color w:val="0000FF"/>
            <w:sz w:val="24"/>
            <w:szCs w:val="24"/>
            <w:u w:val="single"/>
            <w:lang w:eastAsia="ru-RU"/>
          </w:rPr>
          <w:t>4.3</w:t>
        </w:r>
      </w:hyperlink>
      <w:r w:rsidRPr="00463772">
        <w:rPr>
          <w:rFonts w:ascii="Times New Roman" w:eastAsia="Times New Roman" w:hAnsi="Times New Roman"/>
          <w:sz w:val="24"/>
          <w:szCs w:val="24"/>
          <w:lang w:eastAsia="ru-RU"/>
        </w:rPr>
        <w:t xml:space="preserve">, </w:t>
      </w:r>
      <w:hyperlink r:id="rId22" w:history="1">
        <w:r w:rsidRPr="00463772">
          <w:rPr>
            <w:rFonts w:ascii="Times New Roman" w:eastAsia="Times New Roman" w:hAnsi="Times New Roman"/>
            <w:color w:val="0000FF"/>
            <w:sz w:val="24"/>
            <w:szCs w:val="24"/>
            <w:u w:val="single"/>
            <w:lang w:eastAsia="ru-RU"/>
          </w:rPr>
          <w:t>4.4</w:t>
        </w:r>
      </w:hyperlink>
      <w:r w:rsidRPr="00463772">
        <w:rPr>
          <w:rFonts w:ascii="Times New Roman" w:eastAsia="Times New Roman" w:hAnsi="Times New Roman"/>
          <w:sz w:val="24"/>
          <w:szCs w:val="24"/>
          <w:lang w:eastAsia="ru-RU"/>
        </w:rPr>
        <w:t xml:space="preserve"> и </w:t>
      </w:r>
      <w:hyperlink r:id="rId23" w:history="1">
        <w:r w:rsidRPr="00463772">
          <w:rPr>
            <w:rFonts w:ascii="Times New Roman" w:eastAsia="Times New Roman" w:hAnsi="Times New Roman"/>
            <w:color w:val="0000FF"/>
            <w:sz w:val="24"/>
            <w:szCs w:val="24"/>
            <w:u w:val="single"/>
            <w:lang w:eastAsia="ru-RU"/>
          </w:rPr>
          <w:t>5 статьи 284</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079E59C7"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6" w:name="p49"/>
      <w:bookmarkEnd w:id="6"/>
      <w:r w:rsidRPr="00463772">
        <w:rPr>
          <w:rFonts w:ascii="Times New Roman" w:eastAsia="Times New Roman" w:hAnsi="Times New Roman"/>
          <w:sz w:val="24"/>
          <w:szCs w:val="24"/>
          <w:lang w:eastAsia="ru-RU"/>
        </w:rPr>
        <w:t xml:space="preserve">4. Прибыль по российским организациям, являвшимся по состоянию на 31 декабря 2022 года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 статьи 2</w:t>
        </w:r>
      </w:hyperlink>
      <w:r w:rsidRPr="00463772">
        <w:rPr>
          <w:rFonts w:ascii="Times New Roman" w:eastAsia="Times New Roman" w:hAnsi="Times New Roman"/>
          <w:sz w:val="24"/>
          <w:szCs w:val="24"/>
          <w:lang w:eastAsia="ru-RU"/>
        </w:rPr>
        <w:t xml:space="preserve"> настоящего Федерального закона, за соответствующий год исчисляется как сумма налоговой базы по налогу на прибыль организаций в соответствии со </w:t>
      </w:r>
      <w:hyperlink r:id="rId24" w:history="1">
        <w:r w:rsidRPr="00463772">
          <w:rPr>
            <w:rFonts w:ascii="Times New Roman" w:eastAsia="Times New Roman" w:hAnsi="Times New Roman"/>
            <w:color w:val="0000FF"/>
            <w:sz w:val="24"/>
            <w:szCs w:val="24"/>
            <w:u w:val="single"/>
            <w:lang w:eastAsia="ru-RU"/>
          </w:rPr>
          <w:t>статьей 278.1</w:t>
        </w:r>
      </w:hyperlink>
      <w:r w:rsidRPr="00463772">
        <w:rPr>
          <w:rFonts w:ascii="Times New Roman" w:eastAsia="Times New Roman" w:hAnsi="Times New Roman"/>
          <w:sz w:val="24"/>
          <w:szCs w:val="24"/>
          <w:lang w:eastAsia="ru-RU"/>
        </w:rPr>
        <w:t xml:space="preserve"> Налогового кодекса Российской Федерации и налоговых баз по налогу на прибыль организаций, которые не учитывались при исчислении налога на прибыль организаций по консолидированной группе налогоплательщиков. При этом не учитываются налоговые базы по налогу на прибыль организаций, к которой применяются налоговые ставки, предусмотренные </w:t>
      </w:r>
      <w:hyperlink r:id="rId25" w:history="1">
        <w:r w:rsidRPr="00463772">
          <w:rPr>
            <w:rFonts w:ascii="Times New Roman" w:eastAsia="Times New Roman" w:hAnsi="Times New Roman"/>
            <w:color w:val="0000FF"/>
            <w:sz w:val="24"/>
            <w:szCs w:val="24"/>
            <w:u w:val="single"/>
            <w:lang w:eastAsia="ru-RU"/>
          </w:rPr>
          <w:t>пунктами 1.6</w:t>
        </w:r>
      </w:hyperlink>
      <w:r w:rsidRPr="00463772">
        <w:rPr>
          <w:rFonts w:ascii="Times New Roman" w:eastAsia="Times New Roman" w:hAnsi="Times New Roman"/>
          <w:sz w:val="24"/>
          <w:szCs w:val="24"/>
          <w:lang w:eastAsia="ru-RU"/>
        </w:rPr>
        <w:t xml:space="preserve">, </w:t>
      </w:r>
      <w:hyperlink r:id="rId26" w:history="1">
        <w:r w:rsidRPr="00463772">
          <w:rPr>
            <w:rFonts w:ascii="Times New Roman" w:eastAsia="Times New Roman" w:hAnsi="Times New Roman"/>
            <w:color w:val="0000FF"/>
            <w:sz w:val="24"/>
            <w:szCs w:val="24"/>
            <w:u w:val="single"/>
            <w:lang w:eastAsia="ru-RU"/>
          </w:rPr>
          <w:t>1.14</w:t>
        </w:r>
      </w:hyperlink>
      <w:r w:rsidRPr="00463772">
        <w:rPr>
          <w:rFonts w:ascii="Times New Roman" w:eastAsia="Times New Roman" w:hAnsi="Times New Roman"/>
          <w:sz w:val="24"/>
          <w:szCs w:val="24"/>
          <w:lang w:eastAsia="ru-RU"/>
        </w:rPr>
        <w:t xml:space="preserve">, </w:t>
      </w:r>
      <w:hyperlink r:id="rId27" w:history="1">
        <w:r w:rsidRPr="00463772">
          <w:rPr>
            <w:rFonts w:ascii="Times New Roman" w:eastAsia="Times New Roman" w:hAnsi="Times New Roman"/>
            <w:color w:val="0000FF"/>
            <w:sz w:val="24"/>
            <w:szCs w:val="24"/>
            <w:u w:val="single"/>
            <w:lang w:eastAsia="ru-RU"/>
          </w:rPr>
          <w:t>3</w:t>
        </w:r>
      </w:hyperlink>
      <w:r w:rsidRPr="00463772">
        <w:rPr>
          <w:rFonts w:ascii="Times New Roman" w:eastAsia="Times New Roman" w:hAnsi="Times New Roman"/>
          <w:sz w:val="24"/>
          <w:szCs w:val="24"/>
          <w:lang w:eastAsia="ru-RU"/>
        </w:rPr>
        <w:t xml:space="preserve">, </w:t>
      </w:r>
      <w:hyperlink r:id="rId28" w:history="1">
        <w:r w:rsidRPr="00463772">
          <w:rPr>
            <w:rFonts w:ascii="Times New Roman" w:eastAsia="Times New Roman" w:hAnsi="Times New Roman"/>
            <w:color w:val="0000FF"/>
            <w:sz w:val="24"/>
            <w:szCs w:val="24"/>
            <w:u w:val="single"/>
            <w:lang w:eastAsia="ru-RU"/>
          </w:rPr>
          <w:t>4</w:t>
        </w:r>
      </w:hyperlink>
      <w:r w:rsidRPr="00463772">
        <w:rPr>
          <w:rFonts w:ascii="Times New Roman" w:eastAsia="Times New Roman" w:hAnsi="Times New Roman"/>
          <w:sz w:val="24"/>
          <w:szCs w:val="24"/>
          <w:lang w:eastAsia="ru-RU"/>
        </w:rPr>
        <w:t xml:space="preserve">, </w:t>
      </w:r>
      <w:hyperlink r:id="rId29" w:history="1">
        <w:r w:rsidRPr="00463772">
          <w:rPr>
            <w:rFonts w:ascii="Times New Roman" w:eastAsia="Times New Roman" w:hAnsi="Times New Roman"/>
            <w:color w:val="0000FF"/>
            <w:sz w:val="24"/>
            <w:szCs w:val="24"/>
            <w:u w:val="single"/>
            <w:lang w:eastAsia="ru-RU"/>
          </w:rPr>
          <w:t>4.1</w:t>
        </w:r>
      </w:hyperlink>
      <w:r w:rsidRPr="00463772">
        <w:rPr>
          <w:rFonts w:ascii="Times New Roman" w:eastAsia="Times New Roman" w:hAnsi="Times New Roman"/>
          <w:sz w:val="24"/>
          <w:szCs w:val="24"/>
          <w:lang w:eastAsia="ru-RU"/>
        </w:rPr>
        <w:t xml:space="preserve">, </w:t>
      </w:r>
      <w:hyperlink r:id="rId30" w:history="1">
        <w:r w:rsidRPr="00463772">
          <w:rPr>
            <w:rFonts w:ascii="Times New Roman" w:eastAsia="Times New Roman" w:hAnsi="Times New Roman"/>
            <w:color w:val="0000FF"/>
            <w:sz w:val="24"/>
            <w:szCs w:val="24"/>
            <w:u w:val="single"/>
            <w:lang w:eastAsia="ru-RU"/>
          </w:rPr>
          <w:t>4.3</w:t>
        </w:r>
      </w:hyperlink>
      <w:r w:rsidRPr="00463772">
        <w:rPr>
          <w:rFonts w:ascii="Times New Roman" w:eastAsia="Times New Roman" w:hAnsi="Times New Roman"/>
          <w:sz w:val="24"/>
          <w:szCs w:val="24"/>
          <w:lang w:eastAsia="ru-RU"/>
        </w:rPr>
        <w:t xml:space="preserve">, </w:t>
      </w:r>
      <w:hyperlink r:id="rId31" w:history="1">
        <w:r w:rsidRPr="00463772">
          <w:rPr>
            <w:rFonts w:ascii="Times New Roman" w:eastAsia="Times New Roman" w:hAnsi="Times New Roman"/>
            <w:color w:val="0000FF"/>
            <w:sz w:val="24"/>
            <w:szCs w:val="24"/>
            <w:u w:val="single"/>
            <w:lang w:eastAsia="ru-RU"/>
          </w:rPr>
          <w:t>4.4</w:t>
        </w:r>
      </w:hyperlink>
      <w:r w:rsidRPr="00463772">
        <w:rPr>
          <w:rFonts w:ascii="Times New Roman" w:eastAsia="Times New Roman" w:hAnsi="Times New Roman"/>
          <w:sz w:val="24"/>
          <w:szCs w:val="24"/>
          <w:lang w:eastAsia="ru-RU"/>
        </w:rPr>
        <w:t xml:space="preserve"> и </w:t>
      </w:r>
      <w:hyperlink r:id="rId32" w:history="1">
        <w:r w:rsidRPr="00463772">
          <w:rPr>
            <w:rFonts w:ascii="Times New Roman" w:eastAsia="Times New Roman" w:hAnsi="Times New Roman"/>
            <w:color w:val="0000FF"/>
            <w:sz w:val="24"/>
            <w:szCs w:val="24"/>
            <w:u w:val="single"/>
            <w:lang w:eastAsia="ru-RU"/>
          </w:rPr>
          <w:t>5 статьи 284</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60E6E8DB"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5. Российские организации, являвшиеся по состоянию на 31 декабря 2022 года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 статьи 2</w:t>
        </w:r>
      </w:hyperlink>
      <w:r w:rsidRPr="00463772">
        <w:rPr>
          <w:rFonts w:ascii="Times New Roman" w:eastAsia="Times New Roman" w:hAnsi="Times New Roman"/>
          <w:sz w:val="24"/>
          <w:szCs w:val="24"/>
          <w:lang w:eastAsia="ru-RU"/>
        </w:rPr>
        <w:t xml:space="preserve"> настоящего Федерального закона, обязаны представить налогоплательщику, являвшемуся в 2022 году ответственным участником соответствующей консолидированной группы налогоплательщиков, данные, необходимые ему для исчисления налоговой базы по налогу в соответствии со </w:t>
      </w:r>
      <w:hyperlink w:anchor="p59" w:history="1">
        <w:r w:rsidRPr="00463772">
          <w:rPr>
            <w:rFonts w:ascii="Times New Roman" w:eastAsia="Times New Roman" w:hAnsi="Times New Roman"/>
            <w:color w:val="0000FF"/>
            <w:sz w:val="24"/>
            <w:szCs w:val="24"/>
            <w:u w:val="single"/>
            <w:lang w:eastAsia="ru-RU"/>
          </w:rPr>
          <w:t>статьей 4</w:t>
        </w:r>
      </w:hyperlink>
      <w:r w:rsidRPr="00463772">
        <w:rPr>
          <w:rFonts w:ascii="Times New Roman" w:eastAsia="Times New Roman" w:hAnsi="Times New Roman"/>
          <w:sz w:val="24"/>
          <w:szCs w:val="24"/>
          <w:lang w:eastAsia="ru-RU"/>
        </w:rPr>
        <w:t xml:space="preserve"> настоящего Федерального закона. </w:t>
      </w:r>
    </w:p>
    <w:p w14:paraId="157FF0E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6. В отношении налогоплательщика, являющегося стороной соглашения о защите и поощрении капиталовложений, при определении прибыли за соответствующий год не учитывается налоговая база по налогу на прибыль организаций от осуществления деятельности, связанной с реализацией инвестиционного проекта, являющегося предметом соглашения о защите и поощрении капиталовложений. </w:t>
      </w:r>
    </w:p>
    <w:p w14:paraId="684A85F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7. Для организаций, созданных в результате реорганизации в форме слияния, средняя арифметическая величина прибыли за соответствующие годы, предшествующие реорганизации, определяется исходя из данных реорганизованных организаций, правопреемником которых является вновь созданная организация. </w:t>
      </w:r>
    </w:p>
    <w:p w14:paraId="0E034F9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8. Для организаций, созданных в результате реорганизации в форме разделения, средняя арифметическая величина прибыли за соответствующие годы, предшествующие реорганизации, определяется исходя из данных реорганизованной организации, правопреемником которой являются вновь созданные организации, в доле, определенной при разделении. </w:t>
      </w:r>
    </w:p>
    <w:p w14:paraId="301055E7"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9. Для организаций, реорганизованных в форме присоединения, средняя арифметическая величина прибыли за соответствующие годы, предшествующие реорганизации, определяется с учетом данных присоединенной организации. </w:t>
      </w:r>
    </w:p>
    <w:p w14:paraId="7DBC4BCA"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10. Для организаций, созданных в результате реорганизации в форме преобразования, средняя арифметическая величина прибыли за соответствующие годы, предшествующие реорганизации, определяется исходя из данных реорганизованной организации, правопреемником которой является вновь созданная организация. </w:t>
      </w:r>
    </w:p>
    <w:p w14:paraId="3BB49286"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7" w:name="p56"/>
      <w:bookmarkEnd w:id="7"/>
      <w:r w:rsidRPr="00463772">
        <w:rPr>
          <w:rFonts w:ascii="Times New Roman" w:eastAsia="Times New Roman" w:hAnsi="Times New Roman"/>
          <w:sz w:val="24"/>
          <w:szCs w:val="24"/>
          <w:lang w:eastAsia="ru-RU"/>
        </w:rPr>
        <w:lastRenderedPageBreak/>
        <w:t xml:space="preserve">11. В случае доначисления по результатам налоговой проверки налога на прибыль организаций, относящегося к налоговым базам по налогу на прибыль организаций, учитываемым при исчислении прибыли в соответствии с </w:t>
      </w:r>
      <w:hyperlink w:anchor="p48" w:history="1">
        <w:r w:rsidRPr="00463772">
          <w:rPr>
            <w:rFonts w:ascii="Times New Roman" w:eastAsia="Times New Roman" w:hAnsi="Times New Roman"/>
            <w:color w:val="0000FF"/>
            <w:sz w:val="24"/>
            <w:szCs w:val="24"/>
            <w:u w:val="single"/>
            <w:lang w:eastAsia="ru-RU"/>
          </w:rPr>
          <w:t>частями 3</w:t>
        </w:r>
      </w:hyperlink>
      <w:r w:rsidRPr="00463772">
        <w:rPr>
          <w:rFonts w:ascii="Times New Roman" w:eastAsia="Times New Roman" w:hAnsi="Times New Roman"/>
          <w:sz w:val="24"/>
          <w:szCs w:val="24"/>
          <w:lang w:eastAsia="ru-RU"/>
        </w:rPr>
        <w:t xml:space="preserve"> и </w:t>
      </w:r>
      <w:hyperlink w:anchor="p49" w:history="1">
        <w:r w:rsidRPr="00463772">
          <w:rPr>
            <w:rFonts w:ascii="Times New Roman" w:eastAsia="Times New Roman" w:hAnsi="Times New Roman"/>
            <w:color w:val="0000FF"/>
            <w:sz w:val="24"/>
            <w:szCs w:val="24"/>
            <w:u w:val="single"/>
            <w:lang w:eastAsia="ru-RU"/>
          </w:rPr>
          <w:t>4</w:t>
        </w:r>
      </w:hyperlink>
      <w:r w:rsidRPr="00463772">
        <w:rPr>
          <w:rFonts w:ascii="Times New Roman" w:eastAsia="Times New Roman" w:hAnsi="Times New Roman"/>
          <w:sz w:val="24"/>
          <w:szCs w:val="24"/>
          <w:lang w:eastAsia="ru-RU"/>
        </w:rPr>
        <w:t xml:space="preserve"> настоящей статьи, сумма налоговых баз по налогу на прибыль организаций за соответствующий год подлежит увеличению на величину, равную произведению суммы соответствующего доначисления налога на прибыль организаций по результатам налоговой проверки и коэффициента 5. </w:t>
      </w:r>
    </w:p>
    <w:p w14:paraId="1965E830"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12. В случае подачи налогоплательщиком уточненной налоговой декларации за налоговые периоды 2021 и (или) 2022 годов по налогу на прибыль организаций прибыль в соответствии с </w:t>
      </w:r>
      <w:hyperlink w:anchor="p48" w:history="1">
        <w:r w:rsidRPr="00463772">
          <w:rPr>
            <w:rFonts w:ascii="Times New Roman" w:eastAsia="Times New Roman" w:hAnsi="Times New Roman"/>
            <w:color w:val="0000FF"/>
            <w:sz w:val="24"/>
            <w:szCs w:val="24"/>
            <w:u w:val="single"/>
            <w:lang w:eastAsia="ru-RU"/>
          </w:rPr>
          <w:t>частями 3</w:t>
        </w:r>
      </w:hyperlink>
      <w:r w:rsidRPr="00463772">
        <w:rPr>
          <w:rFonts w:ascii="Times New Roman" w:eastAsia="Times New Roman" w:hAnsi="Times New Roman"/>
          <w:sz w:val="24"/>
          <w:szCs w:val="24"/>
          <w:lang w:eastAsia="ru-RU"/>
        </w:rPr>
        <w:t xml:space="preserve"> и </w:t>
      </w:r>
      <w:hyperlink w:anchor="p49" w:history="1">
        <w:r w:rsidRPr="00463772">
          <w:rPr>
            <w:rFonts w:ascii="Times New Roman" w:eastAsia="Times New Roman" w:hAnsi="Times New Roman"/>
            <w:color w:val="0000FF"/>
            <w:sz w:val="24"/>
            <w:szCs w:val="24"/>
            <w:u w:val="single"/>
            <w:lang w:eastAsia="ru-RU"/>
          </w:rPr>
          <w:t>4</w:t>
        </w:r>
      </w:hyperlink>
      <w:r w:rsidRPr="00463772">
        <w:rPr>
          <w:rFonts w:ascii="Times New Roman" w:eastAsia="Times New Roman" w:hAnsi="Times New Roman"/>
          <w:sz w:val="24"/>
          <w:szCs w:val="24"/>
          <w:lang w:eastAsia="ru-RU"/>
        </w:rPr>
        <w:t xml:space="preserve"> настоящей статьи исчисляется на основании показателей соответствующей уточненной налоговой декларации. </w:t>
      </w:r>
    </w:p>
    <w:p w14:paraId="7589342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BA3B223"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8" w:name="p59"/>
      <w:bookmarkEnd w:id="8"/>
      <w:r w:rsidRPr="00463772">
        <w:rPr>
          <w:rFonts w:ascii="Arial" w:eastAsia="Times New Roman" w:hAnsi="Arial" w:cs="Arial"/>
          <w:b/>
          <w:bCs/>
          <w:sz w:val="24"/>
          <w:szCs w:val="24"/>
          <w:lang w:eastAsia="ru-RU"/>
        </w:rPr>
        <w:t>Статья 4. Налоговая база</w:t>
      </w:r>
      <w:r w:rsidRPr="00463772">
        <w:rPr>
          <w:rFonts w:ascii="Times New Roman" w:eastAsia="Times New Roman" w:hAnsi="Times New Roman"/>
          <w:sz w:val="24"/>
          <w:szCs w:val="24"/>
          <w:lang w:eastAsia="ru-RU"/>
        </w:rPr>
        <w:t xml:space="preserve"> </w:t>
      </w:r>
    </w:p>
    <w:p w14:paraId="41F5B21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09BD2FB7"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9" w:name="p61"/>
      <w:bookmarkEnd w:id="9"/>
      <w:r w:rsidRPr="00463772">
        <w:rPr>
          <w:rFonts w:ascii="Times New Roman" w:eastAsia="Times New Roman" w:hAnsi="Times New Roman"/>
          <w:sz w:val="24"/>
          <w:szCs w:val="24"/>
          <w:lang w:eastAsia="ru-RU"/>
        </w:rPr>
        <w:t xml:space="preserve">1. Налоговой базой, если иное не установлено настоящей статьей, является денежное выражение сверхприбыли, определяемой в соответствии со </w:t>
      </w:r>
      <w:hyperlink w:anchor="p44" w:history="1">
        <w:r w:rsidRPr="00463772">
          <w:rPr>
            <w:rFonts w:ascii="Times New Roman" w:eastAsia="Times New Roman" w:hAnsi="Times New Roman"/>
            <w:color w:val="0000FF"/>
            <w:sz w:val="24"/>
            <w:szCs w:val="24"/>
            <w:u w:val="single"/>
            <w:lang w:eastAsia="ru-RU"/>
          </w:rPr>
          <w:t>статьей 3</w:t>
        </w:r>
      </w:hyperlink>
      <w:r w:rsidRPr="00463772">
        <w:rPr>
          <w:rFonts w:ascii="Times New Roman" w:eastAsia="Times New Roman" w:hAnsi="Times New Roman"/>
          <w:sz w:val="24"/>
          <w:szCs w:val="24"/>
          <w:lang w:eastAsia="ru-RU"/>
        </w:rPr>
        <w:t xml:space="preserve"> настоящего Федерального закона. </w:t>
      </w:r>
    </w:p>
    <w:p w14:paraId="39DC246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2. Налоговая база по налогоплательщикам, являвшимся по состоянию на 31 декабря 2022 года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 статьи 2</w:t>
        </w:r>
      </w:hyperlink>
      <w:r w:rsidRPr="00463772">
        <w:rPr>
          <w:rFonts w:ascii="Times New Roman" w:eastAsia="Times New Roman" w:hAnsi="Times New Roman"/>
          <w:sz w:val="24"/>
          <w:szCs w:val="24"/>
          <w:lang w:eastAsia="ru-RU"/>
        </w:rPr>
        <w:t xml:space="preserve"> настоящего Федерального закона, определяется в целом по такой консолидированной группе налогоплательщиков налогоплательщиком, являвшимся в 2022 году ответственным участником такой консолидированной группы налогоплательщиков в соответствии со </w:t>
      </w:r>
      <w:hyperlink r:id="rId33" w:history="1">
        <w:r w:rsidRPr="00463772">
          <w:rPr>
            <w:rFonts w:ascii="Times New Roman" w:eastAsia="Times New Roman" w:hAnsi="Times New Roman"/>
            <w:color w:val="0000FF"/>
            <w:sz w:val="24"/>
            <w:szCs w:val="24"/>
            <w:u w:val="single"/>
            <w:lang w:eastAsia="ru-RU"/>
          </w:rPr>
          <w:t>статьей 25.1</w:t>
        </w:r>
      </w:hyperlink>
      <w:r w:rsidRPr="00463772">
        <w:rPr>
          <w:rFonts w:ascii="Times New Roman" w:eastAsia="Times New Roman" w:hAnsi="Times New Roman"/>
          <w:sz w:val="24"/>
          <w:szCs w:val="24"/>
          <w:lang w:eastAsia="ru-RU"/>
        </w:rPr>
        <w:t xml:space="preserve"> Налогового кодекса Российской Федерации. </w:t>
      </w:r>
    </w:p>
    <w:p w14:paraId="4D6E0BC4"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3. В случае, если средняя арифметическая величина прибыли за 2021 год и прибыли за 2022 год оказалась не более средней арифметической величины прибыли за 2018 год и прибыли за 2019 год, то налоговая база принимается равной нулю. </w:t>
      </w:r>
    </w:p>
    <w:p w14:paraId="11C63174"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4. В случае, если средняя арифметическая величина прибыли за 2021 год и прибыли за 2022 год оказалась не более 1 миллиарда рублей, то налоговая база принимается равной нулю. Положения настоящей части не применяются при определении налоговой базы налогоплательщиков, являвшихся по состоянию на 31 декабря 2022 года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и (или) </w:t>
      </w:r>
      <w:hyperlink w:anchor="p33" w:history="1">
        <w:r w:rsidRPr="00463772">
          <w:rPr>
            <w:rFonts w:ascii="Times New Roman" w:eastAsia="Times New Roman" w:hAnsi="Times New Roman"/>
            <w:color w:val="0000FF"/>
            <w:sz w:val="24"/>
            <w:szCs w:val="24"/>
            <w:u w:val="single"/>
            <w:lang w:eastAsia="ru-RU"/>
          </w:rPr>
          <w:t>6 части 4 статьи 2</w:t>
        </w:r>
      </w:hyperlink>
      <w:r w:rsidRPr="00463772">
        <w:rPr>
          <w:rFonts w:ascii="Times New Roman" w:eastAsia="Times New Roman" w:hAnsi="Times New Roman"/>
          <w:sz w:val="24"/>
          <w:szCs w:val="24"/>
          <w:lang w:eastAsia="ru-RU"/>
        </w:rPr>
        <w:t xml:space="preserve"> настоящего Федерального закона. </w:t>
      </w:r>
    </w:p>
    <w:p w14:paraId="7B63DB0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5. Налоговая база по российским организациям, являвшимся в 2018, 2019, 2020, 2021 и (или) 2022 годах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 статьи 2</w:t>
        </w:r>
      </w:hyperlink>
      <w:r w:rsidRPr="00463772">
        <w:rPr>
          <w:rFonts w:ascii="Times New Roman" w:eastAsia="Times New Roman" w:hAnsi="Times New Roman"/>
          <w:sz w:val="24"/>
          <w:szCs w:val="24"/>
          <w:lang w:eastAsia="ru-RU"/>
        </w:rPr>
        <w:t xml:space="preserve"> настоящего Федерального закона, но не являвшимся по состоянию на 31 декабря 2022 года участниками указанной консолидированной группы налогоплательщиков, а также по российским организациям, являвшимся участниками консолидированной группы налогоплательщиков, в состав которой в 2022 году входила организация, указанная в </w:t>
      </w:r>
      <w:hyperlink w:anchor="p32" w:history="1">
        <w:r w:rsidRPr="00463772">
          <w:rPr>
            <w:rFonts w:ascii="Times New Roman" w:eastAsia="Times New Roman" w:hAnsi="Times New Roman"/>
            <w:color w:val="0000FF"/>
            <w:sz w:val="24"/>
            <w:szCs w:val="24"/>
            <w:u w:val="single"/>
            <w:lang w:eastAsia="ru-RU"/>
          </w:rPr>
          <w:t>пункте 5 части 4 статьи 2</w:t>
        </w:r>
      </w:hyperlink>
      <w:r w:rsidRPr="00463772">
        <w:rPr>
          <w:rFonts w:ascii="Times New Roman" w:eastAsia="Times New Roman" w:hAnsi="Times New Roman"/>
          <w:sz w:val="24"/>
          <w:szCs w:val="24"/>
          <w:lang w:eastAsia="ru-RU"/>
        </w:rPr>
        <w:t xml:space="preserve"> настоящего Федерального закона, определяется в соответствии с </w:t>
      </w:r>
      <w:hyperlink w:anchor="p61" w:history="1">
        <w:r w:rsidRPr="00463772">
          <w:rPr>
            <w:rFonts w:ascii="Times New Roman" w:eastAsia="Times New Roman" w:hAnsi="Times New Roman"/>
            <w:color w:val="0000FF"/>
            <w:sz w:val="24"/>
            <w:szCs w:val="24"/>
            <w:u w:val="single"/>
            <w:lang w:eastAsia="ru-RU"/>
          </w:rPr>
          <w:t>частью 1</w:t>
        </w:r>
      </w:hyperlink>
      <w:r w:rsidRPr="00463772">
        <w:rPr>
          <w:rFonts w:ascii="Times New Roman" w:eastAsia="Times New Roman" w:hAnsi="Times New Roman"/>
          <w:sz w:val="24"/>
          <w:szCs w:val="24"/>
          <w:lang w:eastAsia="ru-RU"/>
        </w:rPr>
        <w:t xml:space="preserve"> настоящей статьи с учетом положений </w:t>
      </w:r>
      <w:hyperlink w:anchor="p47" w:history="1">
        <w:r w:rsidRPr="00463772">
          <w:rPr>
            <w:rFonts w:ascii="Times New Roman" w:eastAsia="Times New Roman" w:hAnsi="Times New Roman"/>
            <w:color w:val="0000FF"/>
            <w:sz w:val="24"/>
            <w:szCs w:val="24"/>
            <w:u w:val="single"/>
            <w:lang w:eastAsia="ru-RU"/>
          </w:rPr>
          <w:t>частей 2</w:t>
        </w:r>
      </w:hyperlink>
      <w:r w:rsidRPr="00463772">
        <w:rPr>
          <w:rFonts w:ascii="Times New Roman" w:eastAsia="Times New Roman" w:hAnsi="Times New Roman"/>
          <w:sz w:val="24"/>
          <w:szCs w:val="24"/>
          <w:lang w:eastAsia="ru-RU"/>
        </w:rPr>
        <w:t xml:space="preserve"> и </w:t>
      </w:r>
      <w:hyperlink w:anchor="p48" w:history="1">
        <w:r w:rsidRPr="00463772">
          <w:rPr>
            <w:rFonts w:ascii="Times New Roman" w:eastAsia="Times New Roman" w:hAnsi="Times New Roman"/>
            <w:color w:val="0000FF"/>
            <w:sz w:val="24"/>
            <w:szCs w:val="24"/>
            <w:u w:val="single"/>
            <w:lang w:eastAsia="ru-RU"/>
          </w:rPr>
          <w:t>3 статьи 3</w:t>
        </w:r>
      </w:hyperlink>
      <w:r w:rsidRPr="00463772">
        <w:rPr>
          <w:rFonts w:ascii="Times New Roman" w:eastAsia="Times New Roman" w:hAnsi="Times New Roman"/>
          <w:sz w:val="24"/>
          <w:szCs w:val="24"/>
          <w:lang w:eastAsia="ru-RU"/>
        </w:rPr>
        <w:t xml:space="preserve"> настоящего Федерального закона. </w:t>
      </w:r>
    </w:p>
    <w:p w14:paraId="40D7462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6. В случае, если налоговая база, определенная налогоплательщиком, превысила половину исчисленной прибыли за 2022 год, то для налогоплательщиков, у которых отношение средней арифметической величины прибыли за 2021 год и прибыли за 2022 год к средней арифметической величине прибыли за 2018 год и прибыли за 2019 год оказалось ниже отношения средней арифметической величины показателей балансовой стоимости активов на конец 2021 и 2022 годов к средней арифметической величине аналогичных показателей за 2018 год и 2019 год, налоговая база признается равной половине прибыли за 2022 год. Если средняя арифметическая величина прибыли за 2018 год и прибыли за 2019 год оказалась равна нулю, то для целей настоящей части ее значение признается равной 1. </w:t>
      </w:r>
      <w:r w:rsidRPr="00463772">
        <w:rPr>
          <w:rFonts w:ascii="Times New Roman" w:eastAsia="Times New Roman" w:hAnsi="Times New Roman"/>
          <w:sz w:val="24"/>
          <w:szCs w:val="24"/>
          <w:lang w:eastAsia="ru-RU"/>
        </w:rPr>
        <w:lastRenderedPageBreak/>
        <w:t xml:space="preserve">Положения настоящей части не применяются в отношении кредитных организаций, </w:t>
      </w:r>
      <w:proofErr w:type="spellStart"/>
      <w:r w:rsidRPr="00463772">
        <w:rPr>
          <w:rFonts w:ascii="Times New Roman" w:eastAsia="Times New Roman" w:hAnsi="Times New Roman"/>
          <w:sz w:val="24"/>
          <w:szCs w:val="24"/>
          <w:lang w:eastAsia="ru-RU"/>
        </w:rPr>
        <w:t>некредитных</w:t>
      </w:r>
      <w:proofErr w:type="spellEnd"/>
      <w:r w:rsidRPr="00463772">
        <w:rPr>
          <w:rFonts w:ascii="Times New Roman" w:eastAsia="Times New Roman" w:hAnsi="Times New Roman"/>
          <w:sz w:val="24"/>
          <w:szCs w:val="24"/>
          <w:lang w:eastAsia="ru-RU"/>
        </w:rPr>
        <w:t xml:space="preserve"> финансовых организаций, организаций, которые осуществляли распределение прибыли за 2021 год и (или) за 2022 год, и российских организаций, являвшихся по состоянию на 31 декабря 2022 года участниками консолидированной группы налогоплательщиков, в состав которой в 2022 году не входили организации, указанные в </w:t>
      </w:r>
      <w:hyperlink w:anchor="p31" w:history="1">
        <w:r w:rsidRPr="00463772">
          <w:rPr>
            <w:rFonts w:ascii="Times New Roman" w:eastAsia="Times New Roman" w:hAnsi="Times New Roman"/>
            <w:color w:val="0000FF"/>
            <w:sz w:val="24"/>
            <w:szCs w:val="24"/>
            <w:u w:val="single"/>
            <w:lang w:eastAsia="ru-RU"/>
          </w:rPr>
          <w:t>пунктах 4</w:t>
        </w:r>
      </w:hyperlink>
      <w:r w:rsidRPr="00463772">
        <w:rPr>
          <w:rFonts w:ascii="Times New Roman" w:eastAsia="Times New Roman" w:hAnsi="Times New Roman"/>
          <w:sz w:val="24"/>
          <w:szCs w:val="24"/>
          <w:lang w:eastAsia="ru-RU"/>
        </w:rPr>
        <w:t xml:space="preserve">, </w:t>
      </w:r>
      <w:hyperlink w:anchor="p32" w:history="1">
        <w:r w:rsidRPr="00463772">
          <w:rPr>
            <w:rFonts w:ascii="Times New Roman" w:eastAsia="Times New Roman" w:hAnsi="Times New Roman"/>
            <w:color w:val="0000FF"/>
            <w:sz w:val="24"/>
            <w:szCs w:val="24"/>
            <w:u w:val="single"/>
            <w:lang w:eastAsia="ru-RU"/>
          </w:rPr>
          <w:t>5</w:t>
        </w:r>
      </w:hyperlink>
      <w:r w:rsidRPr="00463772">
        <w:rPr>
          <w:rFonts w:ascii="Times New Roman" w:eastAsia="Times New Roman" w:hAnsi="Times New Roman"/>
          <w:sz w:val="24"/>
          <w:szCs w:val="24"/>
          <w:lang w:eastAsia="ru-RU"/>
        </w:rPr>
        <w:t xml:space="preserve">, </w:t>
      </w:r>
      <w:hyperlink w:anchor="p33" w:history="1">
        <w:r w:rsidRPr="00463772">
          <w:rPr>
            <w:rFonts w:ascii="Times New Roman" w:eastAsia="Times New Roman" w:hAnsi="Times New Roman"/>
            <w:color w:val="0000FF"/>
            <w:sz w:val="24"/>
            <w:szCs w:val="24"/>
            <w:u w:val="single"/>
            <w:lang w:eastAsia="ru-RU"/>
          </w:rPr>
          <w:t>6 части 4 статьи 2</w:t>
        </w:r>
      </w:hyperlink>
      <w:r w:rsidRPr="00463772">
        <w:rPr>
          <w:rFonts w:ascii="Times New Roman" w:eastAsia="Times New Roman" w:hAnsi="Times New Roman"/>
          <w:sz w:val="24"/>
          <w:szCs w:val="24"/>
          <w:lang w:eastAsia="ru-RU"/>
        </w:rPr>
        <w:t xml:space="preserve"> настоящего Федерального закона. </w:t>
      </w:r>
    </w:p>
    <w:p w14:paraId="1DAA5A0D"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B4D5414"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Arial" w:eastAsia="Times New Roman" w:hAnsi="Arial" w:cs="Arial"/>
          <w:b/>
          <w:bCs/>
          <w:sz w:val="24"/>
          <w:szCs w:val="24"/>
          <w:lang w:eastAsia="ru-RU"/>
        </w:rPr>
        <w:t>Статья 5. Налоговая ставка</w:t>
      </w:r>
      <w:r w:rsidRPr="00463772">
        <w:rPr>
          <w:rFonts w:ascii="Times New Roman" w:eastAsia="Times New Roman" w:hAnsi="Times New Roman"/>
          <w:sz w:val="24"/>
          <w:szCs w:val="24"/>
          <w:lang w:eastAsia="ru-RU"/>
        </w:rPr>
        <w:t xml:space="preserve"> </w:t>
      </w:r>
    </w:p>
    <w:p w14:paraId="509F5550"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0B98B3EF"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Налоговая ставка устанавливается в размере 10 процентов. </w:t>
      </w:r>
    </w:p>
    <w:p w14:paraId="7C3B917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1447900B"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Arial" w:eastAsia="Times New Roman" w:hAnsi="Arial" w:cs="Arial"/>
          <w:b/>
          <w:bCs/>
          <w:sz w:val="24"/>
          <w:szCs w:val="24"/>
          <w:lang w:eastAsia="ru-RU"/>
        </w:rPr>
        <w:t>Статья 6. Порядок исчисления налога</w:t>
      </w:r>
      <w:r w:rsidRPr="00463772">
        <w:rPr>
          <w:rFonts w:ascii="Times New Roman" w:eastAsia="Times New Roman" w:hAnsi="Times New Roman"/>
          <w:sz w:val="24"/>
          <w:szCs w:val="24"/>
          <w:lang w:eastAsia="ru-RU"/>
        </w:rPr>
        <w:t xml:space="preserve"> </w:t>
      </w:r>
    </w:p>
    <w:p w14:paraId="186DB05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4313CCBB"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10" w:name="p74"/>
      <w:bookmarkEnd w:id="10"/>
      <w:r w:rsidRPr="00463772">
        <w:rPr>
          <w:rFonts w:ascii="Times New Roman" w:eastAsia="Times New Roman" w:hAnsi="Times New Roman"/>
          <w:sz w:val="24"/>
          <w:szCs w:val="24"/>
          <w:lang w:eastAsia="ru-RU"/>
        </w:rPr>
        <w:t xml:space="preserve">1. Налог определяется как соответствующая налоговой ставке процентная доля налоговой базы, определяемой в соответствии со </w:t>
      </w:r>
      <w:hyperlink w:anchor="p59" w:history="1">
        <w:r w:rsidRPr="00463772">
          <w:rPr>
            <w:rFonts w:ascii="Times New Roman" w:eastAsia="Times New Roman" w:hAnsi="Times New Roman"/>
            <w:color w:val="0000FF"/>
            <w:sz w:val="24"/>
            <w:szCs w:val="24"/>
            <w:u w:val="single"/>
            <w:lang w:eastAsia="ru-RU"/>
          </w:rPr>
          <w:t>статьей 4</w:t>
        </w:r>
      </w:hyperlink>
      <w:r w:rsidRPr="00463772">
        <w:rPr>
          <w:rFonts w:ascii="Times New Roman" w:eastAsia="Times New Roman" w:hAnsi="Times New Roman"/>
          <w:sz w:val="24"/>
          <w:szCs w:val="24"/>
          <w:lang w:eastAsia="ru-RU"/>
        </w:rPr>
        <w:t xml:space="preserve"> настоящего Федерального закона. </w:t>
      </w:r>
    </w:p>
    <w:p w14:paraId="69A1FFD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2. Налогоплательщик имеет право уменьшить сумму налога, исчисленную в порядке, установленном </w:t>
      </w:r>
      <w:hyperlink w:anchor="p74" w:history="1">
        <w:r w:rsidRPr="00463772">
          <w:rPr>
            <w:rFonts w:ascii="Times New Roman" w:eastAsia="Times New Roman" w:hAnsi="Times New Roman"/>
            <w:color w:val="0000FF"/>
            <w:sz w:val="24"/>
            <w:szCs w:val="24"/>
            <w:u w:val="single"/>
            <w:lang w:eastAsia="ru-RU"/>
          </w:rPr>
          <w:t>частью 1</w:t>
        </w:r>
      </w:hyperlink>
      <w:r w:rsidRPr="00463772">
        <w:rPr>
          <w:rFonts w:ascii="Times New Roman" w:eastAsia="Times New Roman" w:hAnsi="Times New Roman"/>
          <w:sz w:val="24"/>
          <w:szCs w:val="24"/>
          <w:lang w:eastAsia="ru-RU"/>
        </w:rPr>
        <w:t xml:space="preserve"> настоящей статьи, на налоговый вычет с учетом особенностей, предусмотренных настоящей статьей. </w:t>
      </w:r>
    </w:p>
    <w:p w14:paraId="06DFE59F"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11" w:name="p76"/>
      <w:bookmarkEnd w:id="11"/>
      <w:r w:rsidRPr="00463772">
        <w:rPr>
          <w:rFonts w:ascii="Times New Roman" w:eastAsia="Times New Roman" w:hAnsi="Times New Roman"/>
          <w:sz w:val="24"/>
          <w:szCs w:val="24"/>
          <w:lang w:eastAsia="ru-RU"/>
        </w:rPr>
        <w:t xml:space="preserve">3. Размер налогового вычета определяется как сумма обеспечительного платежа по налогу, перечисленного в федеральный бюджет за период с 1 октября по 30 ноября 2023 года включительно. При этом размер налогового вычета не может превышать половину суммы налога, исчисленного в порядке, установленном </w:t>
      </w:r>
      <w:hyperlink w:anchor="p74" w:history="1">
        <w:r w:rsidRPr="00463772">
          <w:rPr>
            <w:rFonts w:ascii="Times New Roman" w:eastAsia="Times New Roman" w:hAnsi="Times New Roman"/>
            <w:color w:val="0000FF"/>
            <w:sz w:val="24"/>
            <w:szCs w:val="24"/>
            <w:u w:val="single"/>
            <w:lang w:eastAsia="ru-RU"/>
          </w:rPr>
          <w:t>частью 1</w:t>
        </w:r>
      </w:hyperlink>
      <w:r w:rsidRPr="00463772">
        <w:rPr>
          <w:rFonts w:ascii="Times New Roman" w:eastAsia="Times New Roman" w:hAnsi="Times New Roman"/>
          <w:sz w:val="24"/>
          <w:szCs w:val="24"/>
          <w:lang w:eastAsia="ru-RU"/>
        </w:rPr>
        <w:t xml:space="preserve"> настоящей статьи. </w:t>
      </w:r>
    </w:p>
    <w:p w14:paraId="5678BF6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4. В целях подтверждения права на уменьшение суммы налога, исчисленного в порядке, установленном </w:t>
      </w:r>
      <w:hyperlink w:anchor="p74" w:history="1">
        <w:r w:rsidRPr="00463772">
          <w:rPr>
            <w:rFonts w:ascii="Times New Roman" w:eastAsia="Times New Roman" w:hAnsi="Times New Roman"/>
            <w:color w:val="0000FF"/>
            <w:sz w:val="24"/>
            <w:szCs w:val="24"/>
            <w:u w:val="single"/>
            <w:lang w:eastAsia="ru-RU"/>
          </w:rPr>
          <w:t>частью 1</w:t>
        </w:r>
      </w:hyperlink>
      <w:r w:rsidRPr="00463772">
        <w:rPr>
          <w:rFonts w:ascii="Times New Roman" w:eastAsia="Times New Roman" w:hAnsi="Times New Roman"/>
          <w:sz w:val="24"/>
          <w:szCs w:val="24"/>
          <w:lang w:eastAsia="ru-RU"/>
        </w:rPr>
        <w:t xml:space="preserve"> настоящей статьи, на налоговый вычет, налогоплательщик одновременно с налоговой декларацией обязан представить в налоговый орган копию (копии) платежных документов, подтверждающих перечисление обеспечительного платежа по налогу, указанного в </w:t>
      </w:r>
      <w:hyperlink w:anchor="p76" w:history="1">
        <w:r w:rsidRPr="00463772">
          <w:rPr>
            <w:rFonts w:ascii="Times New Roman" w:eastAsia="Times New Roman" w:hAnsi="Times New Roman"/>
            <w:color w:val="0000FF"/>
            <w:sz w:val="24"/>
            <w:szCs w:val="24"/>
            <w:u w:val="single"/>
            <w:lang w:eastAsia="ru-RU"/>
          </w:rPr>
          <w:t>части 3</w:t>
        </w:r>
      </w:hyperlink>
      <w:r w:rsidRPr="00463772">
        <w:rPr>
          <w:rFonts w:ascii="Times New Roman" w:eastAsia="Times New Roman" w:hAnsi="Times New Roman"/>
          <w:sz w:val="24"/>
          <w:szCs w:val="24"/>
          <w:lang w:eastAsia="ru-RU"/>
        </w:rPr>
        <w:t xml:space="preserve"> настоящей статьи. </w:t>
      </w:r>
    </w:p>
    <w:p w14:paraId="7154C16A"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5. В случае возврата до установленного </w:t>
      </w:r>
      <w:hyperlink w:anchor="p82" w:history="1">
        <w:r w:rsidRPr="00463772">
          <w:rPr>
            <w:rFonts w:ascii="Times New Roman" w:eastAsia="Times New Roman" w:hAnsi="Times New Roman"/>
            <w:color w:val="0000FF"/>
            <w:sz w:val="24"/>
            <w:szCs w:val="24"/>
            <w:u w:val="single"/>
            <w:lang w:eastAsia="ru-RU"/>
          </w:rPr>
          <w:t>статьей 7</w:t>
        </w:r>
      </w:hyperlink>
      <w:r w:rsidRPr="00463772">
        <w:rPr>
          <w:rFonts w:ascii="Times New Roman" w:eastAsia="Times New Roman" w:hAnsi="Times New Roman"/>
          <w:sz w:val="24"/>
          <w:szCs w:val="24"/>
          <w:lang w:eastAsia="ru-RU"/>
        </w:rPr>
        <w:t xml:space="preserve"> настоящего Федерального закона срока уплаты налога полностью или частично налогоплательщику (правопреемнику налогоплательщика) на основании его заявления ранее перечисленного им обеспечительного платежа по налогу, указанного в </w:t>
      </w:r>
      <w:hyperlink w:anchor="p76" w:history="1">
        <w:r w:rsidRPr="00463772">
          <w:rPr>
            <w:rFonts w:ascii="Times New Roman" w:eastAsia="Times New Roman" w:hAnsi="Times New Roman"/>
            <w:color w:val="0000FF"/>
            <w:sz w:val="24"/>
            <w:szCs w:val="24"/>
            <w:u w:val="single"/>
            <w:lang w:eastAsia="ru-RU"/>
          </w:rPr>
          <w:t>части 3</w:t>
        </w:r>
      </w:hyperlink>
      <w:r w:rsidRPr="00463772">
        <w:rPr>
          <w:rFonts w:ascii="Times New Roman" w:eastAsia="Times New Roman" w:hAnsi="Times New Roman"/>
          <w:sz w:val="24"/>
          <w:szCs w:val="24"/>
          <w:lang w:eastAsia="ru-RU"/>
        </w:rPr>
        <w:t xml:space="preserve"> настоящей статьи, размер налогового вычета принимается равным нулю. </w:t>
      </w:r>
    </w:p>
    <w:p w14:paraId="5B8CF345"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6. Сумма налога исчисляется налогоплательщиком самостоятельно. </w:t>
      </w:r>
    </w:p>
    <w:p w14:paraId="495D9055"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7. При изменении налоговой базы по налогу в случаях, указанных в </w:t>
      </w:r>
      <w:hyperlink w:anchor="p56" w:history="1">
        <w:r w:rsidRPr="00463772">
          <w:rPr>
            <w:rFonts w:ascii="Times New Roman" w:eastAsia="Times New Roman" w:hAnsi="Times New Roman"/>
            <w:color w:val="0000FF"/>
            <w:sz w:val="24"/>
            <w:szCs w:val="24"/>
            <w:u w:val="single"/>
            <w:lang w:eastAsia="ru-RU"/>
          </w:rPr>
          <w:t>частях 11</w:t>
        </w:r>
      </w:hyperlink>
      <w:r w:rsidRPr="00463772">
        <w:rPr>
          <w:rFonts w:ascii="Times New Roman" w:eastAsia="Times New Roman" w:hAnsi="Times New Roman"/>
          <w:sz w:val="24"/>
          <w:szCs w:val="24"/>
          <w:lang w:eastAsia="ru-RU"/>
        </w:rPr>
        <w:t xml:space="preserve"> и (или) </w:t>
      </w:r>
      <w:hyperlink w:anchor="p57" w:history="1">
        <w:r w:rsidRPr="00463772">
          <w:rPr>
            <w:rFonts w:ascii="Times New Roman" w:eastAsia="Times New Roman" w:hAnsi="Times New Roman"/>
            <w:color w:val="0000FF"/>
            <w:sz w:val="24"/>
            <w:szCs w:val="24"/>
            <w:u w:val="single"/>
            <w:lang w:eastAsia="ru-RU"/>
          </w:rPr>
          <w:t>12 статьи 3</w:t>
        </w:r>
      </w:hyperlink>
      <w:r w:rsidRPr="00463772">
        <w:rPr>
          <w:rFonts w:ascii="Times New Roman" w:eastAsia="Times New Roman" w:hAnsi="Times New Roman"/>
          <w:sz w:val="24"/>
          <w:szCs w:val="24"/>
          <w:lang w:eastAsia="ru-RU"/>
        </w:rPr>
        <w:t xml:space="preserve"> настоящего Федерального закона, сумма обеспечительного платежа по налогу, указанного в </w:t>
      </w:r>
      <w:hyperlink w:anchor="p76" w:history="1">
        <w:r w:rsidRPr="00463772">
          <w:rPr>
            <w:rFonts w:ascii="Times New Roman" w:eastAsia="Times New Roman" w:hAnsi="Times New Roman"/>
            <w:color w:val="0000FF"/>
            <w:sz w:val="24"/>
            <w:szCs w:val="24"/>
            <w:u w:val="single"/>
            <w:lang w:eastAsia="ru-RU"/>
          </w:rPr>
          <w:t>части 3</w:t>
        </w:r>
      </w:hyperlink>
      <w:r w:rsidRPr="00463772">
        <w:rPr>
          <w:rFonts w:ascii="Times New Roman" w:eastAsia="Times New Roman" w:hAnsi="Times New Roman"/>
          <w:sz w:val="24"/>
          <w:szCs w:val="24"/>
          <w:lang w:eastAsia="ru-RU"/>
        </w:rPr>
        <w:t xml:space="preserve"> настоящей статьи, в целях определения налогового вычета уменьшается на сумму денежных средств, признанных единым налоговым платежом в связи с представлением налогоплательщиком заявления о возврате излишне уплаченных сумм налога. </w:t>
      </w:r>
    </w:p>
    <w:p w14:paraId="2576E6CB"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5D80D263"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12" w:name="p82"/>
      <w:bookmarkEnd w:id="12"/>
      <w:r w:rsidRPr="00463772">
        <w:rPr>
          <w:rFonts w:ascii="Arial" w:eastAsia="Times New Roman" w:hAnsi="Arial" w:cs="Arial"/>
          <w:b/>
          <w:bCs/>
          <w:sz w:val="24"/>
          <w:szCs w:val="24"/>
          <w:lang w:eastAsia="ru-RU"/>
        </w:rPr>
        <w:t>Статья 7. Сроки и порядок уплаты налога</w:t>
      </w:r>
      <w:r w:rsidRPr="00463772">
        <w:rPr>
          <w:rFonts w:ascii="Times New Roman" w:eastAsia="Times New Roman" w:hAnsi="Times New Roman"/>
          <w:sz w:val="24"/>
          <w:szCs w:val="24"/>
          <w:lang w:eastAsia="ru-RU"/>
        </w:rPr>
        <w:t xml:space="preserve"> </w:t>
      </w:r>
    </w:p>
    <w:p w14:paraId="3213F53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42B3CD66"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13" w:name="p84"/>
      <w:bookmarkEnd w:id="13"/>
      <w:r w:rsidRPr="00463772">
        <w:rPr>
          <w:rFonts w:ascii="Times New Roman" w:eastAsia="Times New Roman" w:hAnsi="Times New Roman"/>
          <w:sz w:val="24"/>
          <w:szCs w:val="24"/>
          <w:lang w:eastAsia="ru-RU"/>
        </w:rPr>
        <w:t xml:space="preserve">1. Налог уплачивается не позднее 28 января 2024 года. </w:t>
      </w:r>
    </w:p>
    <w:p w14:paraId="06DB8A4A"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2. Сумма обеспечительного платежа по налогу со дня наступления установленного </w:t>
      </w:r>
      <w:hyperlink w:anchor="p84" w:history="1">
        <w:r w:rsidRPr="00463772">
          <w:rPr>
            <w:rFonts w:ascii="Times New Roman" w:eastAsia="Times New Roman" w:hAnsi="Times New Roman"/>
            <w:color w:val="0000FF"/>
            <w:sz w:val="24"/>
            <w:szCs w:val="24"/>
            <w:u w:val="single"/>
            <w:lang w:eastAsia="ru-RU"/>
          </w:rPr>
          <w:t>частью 1</w:t>
        </w:r>
      </w:hyperlink>
      <w:r w:rsidRPr="00463772">
        <w:rPr>
          <w:rFonts w:ascii="Times New Roman" w:eastAsia="Times New Roman" w:hAnsi="Times New Roman"/>
          <w:sz w:val="24"/>
          <w:szCs w:val="24"/>
          <w:lang w:eastAsia="ru-RU"/>
        </w:rPr>
        <w:t xml:space="preserve"> настоящей статьи срока уплаты налога признается суммой уплаченного налога. </w:t>
      </w:r>
    </w:p>
    <w:p w14:paraId="2F54F04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3. Сумма налога подлежит зачислению в федеральный бюджет. </w:t>
      </w:r>
    </w:p>
    <w:p w14:paraId="6891D05E"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3CF38F6C"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Arial" w:eastAsia="Times New Roman" w:hAnsi="Arial" w:cs="Arial"/>
          <w:b/>
          <w:bCs/>
          <w:sz w:val="24"/>
          <w:szCs w:val="24"/>
          <w:lang w:eastAsia="ru-RU"/>
        </w:rPr>
        <w:t>Статья 8. Налоговая декларация</w:t>
      </w:r>
      <w:r w:rsidRPr="00463772">
        <w:rPr>
          <w:rFonts w:ascii="Times New Roman" w:eastAsia="Times New Roman" w:hAnsi="Times New Roman"/>
          <w:sz w:val="24"/>
          <w:szCs w:val="24"/>
          <w:lang w:eastAsia="ru-RU"/>
        </w:rPr>
        <w:t xml:space="preserve"> </w:t>
      </w:r>
    </w:p>
    <w:p w14:paraId="66D203F0"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1EE08FF"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lastRenderedPageBreak/>
        <w:t xml:space="preserve">1. Налогоплательщик обязан представить в налоговые органы по месту своего нахождения налоговую декларацию не позднее 25 января 2024 года, если иное не установлено </w:t>
      </w:r>
      <w:hyperlink w:anchor="p92" w:history="1">
        <w:r w:rsidRPr="00463772">
          <w:rPr>
            <w:rFonts w:ascii="Times New Roman" w:eastAsia="Times New Roman" w:hAnsi="Times New Roman"/>
            <w:color w:val="0000FF"/>
            <w:sz w:val="24"/>
            <w:szCs w:val="24"/>
            <w:u w:val="single"/>
            <w:lang w:eastAsia="ru-RU"/>
          </w:rPr>
          <w:t>частью 3</w:t>
        </w:r>
      </w:hyperlink>
      <w:r w:rsidRPr="00463772">
        <w:rPr>
          <w:rFonts w:ascii="Times New Roman" w:eastAsia="Times New Roman" w:hAnsi="Times New Roman"/>
          <w:sz w:val="24"/>
          <w:szCs w:val="24"/>
          <w:lang w:eastAsia="ru-RU"/>
        </w:rPr>
        <w:t xml:space="preserve"> настоящей статьи. </w:t>
      </w:r>
    </w:p>
    <w:p w14:paraId="43DBED50"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2. Налогоплательщики, в соответствии со </w:t>
      </w:r>
      <w:hyperlink r:id="rId34" w:history="1">
        <w:r w:rsidRPr="00463772">
          <w:rPr>
            <w:rFonts w:ascii="Times New Roman" w:eastAsia="Times New Roman" w:hAnsi="Times New Roman"/>
            <w:color w:val="0000FF"/>
            <w:sz w:val="24"/>
            <w:szCs w:val="24"/>
            <w:u w:val="single"/>
            <w:lang w:eastAsia="ru-RU"/>
          </w:rPr>
          <w:t>статьей 83</w:t>
        </w:r>
      </w:hyperlink>
      <w:r w:rsidRPr="00463772">
        <w:rPr>
          <w:rFonts w:ascii="Times New Roman" w:eastAsia="Times New Roman" w:hAnsi="Times New Roman"/>
          <w:sz w:val="24"/>
          <w:szCs w:val="24"/>
          <w:lang w:eastAsia="ru-RU"/>
        </w:rPr>
        <w:t xml:space="preserve"> Налогового кодекса Российской Федерации отнесенные к категории крупнейших, представляют налоговые декларации в налоговый орган по месту учета в качестве крупнейших налогоплательщиков. </w:t>
      </w:r>
    </w:p>
    <w:p w14:paraId="672BE542"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bookmarkStart w:id="14" w:name="p92"/>
      <w:bookmarkEnd w:id="14"/>
      <w:r w:rsidRPr="00463772">
        <w:rPr>
          <w:rFonts w:ascii="Times New Roman" w:eastAsia="Times New Roman" w:hAnsi="Times New Roman"/>
          <w:sz w:val="24"/>
          <w:szCs w:val="24"/>
          <w:lang w:eastAsia="ru-RU"/>
        </w:rPr>
        <w:t xml:space="preserve">3. Налогоплательщики, у которых сумма исчисленного в соответствии с </w:t>
      </w:r>
      <w:hyperlink w:anchor="p74" w:history="1">
        <w:r w:rsidRPr="00463772">
          <w:rPr>
            <w:rFonts w:ascii="Times New Roman" w:eastAsia="Times New Roman" w:hAnsi="Times New Roman"/>
            <w:color w:val="0000FF"/>
            <w:sz w:val="24"/>
            <w:szCs w:val="24"/>
            <w:u w:val="single"/>
            <w:lang w:eastAsia="ru-RU"/>
          </w:rPr>
          <w:t>частью 1 статьи 6</w:t>
        </w:r>
      </w:hyperlink>
      <w:r w:rsidRPr="00463772">
        <w:rPr>
          <w:rFonts w:ascii="Times New Roman" w:eastAsia="Times New Roman" w:hAnsi="Times New Roman"/>
          <w:sz w:val="24"/>
          <w:szCs w:val="24"/>
          <w:lang w:eastAsia="ru-RU"/>
        </w:rPr>
        <w:t xml:space="preserve"> настоящего Федерального закона налога равна нулю, налоговую декларацию в налоговые органы не представляют. </w:t>
      </w:r>
    </w:p>
    <w:p w14:paraId="1A0714F5"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1CBBB7C6"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Arial" w:eastAsia="Times New Roman" w:hAnsi="Arial" w:cs="Arial"/>
          <w:b/>
          <w:bCs/>
          <w:sz w:val="24"/>
          <w:szCs w:val="24"/>
          <w:lang w:eastAsia="ru-RU"/>
        </w:rPr>
        <w:t>Статья 9. Вступление в силу настоящего Федерального закона</w:t>
      </w:r>
      <w:r w:rsidRPr="00463772">
        <w:rPr>
          <w:rFonts w:ascii="Times New Roman" w:eastAsia="Times New Roman" w:hAnsi="Times New Roman"/>
          <w:sz w:val="24"/>
          <w:szCs w:val="24"/>
          <w:lang w:eastAsia="ru-RU"/>
        </w:rPr>
        <w:t xml:space="preserve"> </w:t>
      </w:r>
    </w:p>
    <w:p w14:paraId="6885E651"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73E1A4E3"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Настоящий Федеральный закон вступает в силу с 1 января 2024 года. </w:t>
      </w:r>
    </w:p>
    <w:p w14:paraId="327F9526" w14:textId="77777777" w:rsidR="00034BD1" w:rsidRPr="00463772" w:rsidRDefault="00034BD1" w:rsidP="00034BD1">
      <w:pPr>
        <w:spacing w:after="0" w:line="240" w:lineRule="auto"/>
        <w:ind w:firstLine="540"/>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63898FDF"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Президент </w:t>
      </w:r>
    </w:p>
    <w:p w14:paraId="2F613947"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Российской Федерации </w:t>
      </w:r>
    </w:p>
    <w:p w14:paraId="3FDF1569" w14:textId="77777777" w:rsidR="00034BD1" w:rsidRPr="00463772" w:rsidRDefault="00034BD1" w:rsidP="00034BD1">
      <w:pPr>
        <w:spacing w:after="0" w:line="240" w:lineRule="auto"/>
        <w:jc w:val="right"/>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В.ПУТИН </w:t>
      </w:r>
    </w:p>
    <w:p w14:paraId="6C4534F5" w14:textId="77777777" w:rsidR="00034BD1" w:rsidRPr="00463772" w:rsidRDefault="00034BD1" w:rsidP="00034BD1">
      <w:pPr>
        <w:spacing w:after="0" w:line="240" w:lineRule="auto"/>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Москва, Кремль </w:t>
      </w:r>
    </w:p>
    <w:p w14:paraId="360D96B6" w14:textId="77777777" w:rsidR="00034BD1" w:rsidRPr="00463772" w:rsidRDefault="00034BD1" w:rsidP="00034BD1">
      <w:pPr>
        <w:spacing w:after="0" w:line="240" w:lineRule="auto"/>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4 августа 2023 года </w:t>
      </w:r>
    </w:p>
    <w:p w14:paraId="425B99C3" w14:textId="77777777" w:rsidR="00034BD1" w:rsidRPr="00463772" w:rsidRDefault="00034BD1" w:rsidP="00034BD1">
      <w:pPr>
        <w:spacing w:after="0" w:line="240" w:lineRule="auto"/>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N 414-ФЗ </w:t>
      </w:r>
    </w:p>
    <w:p w14:paraId="4F2698EB"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16C5495D"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299C2E08" w14:textId="77777777" w:rsidR="00034BD1" w:rsidRPr="00463772" w:rsidRDefault="00034BD1" w:rsidP="00034BD1">
      <w:pPr>
        <w:spacing w:after="0" w:line="240" w:lineRule="auto"/>
        <w:jc w:val="both"/>
        <w:rPr>
          <w:rFonts w:ascii="Times New Roman" w:eastAsia="Times New Roman" w:hAnsi="Times New Roman"/>
          <w:sz w:val="24"/>
          <w:szCs w:val="24"/>
          <w:lang w:eastAsia="ru-RU"/>
        </w:rPr>
      </w:pPr>
      <w:r w:rsidRPr="00463772">
        <w:rPr>
          <w:rFonts w:ascii="Times New Roman" w:eastAsia="Times New Roman" w:hAnsi="Times New Roman"/>
          <w:sz w:val="24"/>
          <w:szCs w:val="24"/>
          <w:lang w:eastAsia="ru-RU"/>
        </w:rPr>
        <w:t xml:space="preserve">------------------------------------------------------------------ </w:t>
      </w:r>
    </w:p>
    <w:p w14:paraId="679EBA0D" w14:textId="77777777" w:rsidR="00034BD1" w:rsidRPr="004622B2" w:rsidRDefault="00034BD1" w:rsidP="00034BD1">
      <w:pPr>
        <w:autoSpaceDE w:val="0"/>
        <w:autoSpaceDN w:val="0"/>
        <w:adjustRightInd w:val="0"/>
        <w:spacing w:after="0" w:line="240" w:lineRule="auto"/>
        <w:ind w:firstLine="540"/>
        <w:jc w:val="both"/>
        <w:rPr>
          <w:rFonts w:cs="Calibri"/>
          <w:sz w:val="24"/>
          <w:szCs w:val="24"/>
        </w:rPr>
      </w:pPr>
    </w:p>
    <w:p w14:paraId="479C3A6F" w14:textId="77777777" w:rsidR="004062CF" w:rsidRDefault="004062CF"/>
    <w:sectPr w:rsidR="004062CF" w:rsidSect="009D2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1"/>
    <w:rsid w:val="00034BD1"/>
    <w:rsid w:val="004062CF"/>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AA15EF5"/>
  <w15:chartTrackingRefBased/>
  <w15:docId w15:val="{D1DD7A5D-681D-A144-9B65-835BB42B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BD1"/>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499&amp;dst=103340&amp;field=134&amp;date=07.08.2023" TargetMode="External"/><Relationship Id="rId18" Type="http://schemas.openxmlformats.org/officeDocument/2006/relationships/hyperlink" Target="https://login.consultant.ru/link/?req=doc&amp;base=LAW&amp;n=453499&amp;dst=3296&amp;field=134&amp;date=07.08.2023" TargetMode="External"/><Relationship Id="rId26" Type="http://schemas.openxmlformats.org/officeDocument/2006/relationships/hyperlink" Target="https://login.consultant.ru/link/?req=doc&amp;base=LAW&amp;n=453499&amp;dst=23611&amp;field=134&amp;date=07.08.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499&amp;dst=21659&amp;field=134&amp;date=07.08.2023" TargetMode="External"/><Relationship Id="rId34" Type="http://schemas.openxmlformats.org/officeDocument/2006/relationships/hyperlink" Target="https://login.consultant.ru/link/?req=doc&amp;base=LAW&amp;n=444771&amp;dst=101319&amp;field=134&amp;date=07.08.2023" TargetMode="External"/><Relationship Id="rId7" Type="http://schemas.openxmlformats.org/officeDocument/2006/relationships/hyperlink" Target="https://login.consultant.ru/link/?req=doc&amp;base=LAW&amp;n=453499&amp;dst=11688&amp;field=134&amp;date=07.08.2023" TargetMode="External"/><Relationship Id="rId12" Type="http://schemas.openxmlformats.org/officeDocument/2006/relationships/hyperlink" Target="https://login.consultant.ru/link/?req=doc&amp;base=LAW&amp;n=436061&amp;date=07.08.2023" TargetMode="External"/><Relationship Id="rId17" Type="http://schemas.openxmlformats.org/officeDocument/2006/relationships/hyperlink" Target="https://login.consultant.ru/link/?req=doc&amp;base=LAW&amp;n=453499&amp;dst=23611&amp;field=134&amp;date=07.08.2023" TargetMode="External"/><Relationship Id="rId25" Type="http://schemas.openxmlformats.org/officeDocument/2006/relationships/hyperlink" Target="https://login.consultant.ru/link/?req=doc&amp;base=LAW&amp;n=453499&amp;dst=10956&amp;field=134&amp;date=07.08.2023" TargetMode="External"/><Relationship Id="rId33" Type="http://schemas.openxmlformats.org/officeDocument/2006/relationships/hyperlink" Target="https://login.consultant.ru/link/?req=doc&amp;base=LAW&amp;n=444771&amp;dst=2031&amp;field=134&amp;date=07.08.2023" TargetMode="External"/><Relationship Id="rId2" Type="http://schemas.openxmlformats.org/officeDocument/2006/relationships/settings" Target="settings.xml"/><Relationship Id="rId16" Type="http://schemas.openxmlformats.org/officeDocument/2006/relationships/hyperlink" Target="https://login.consultant.ru/link/?req=doc&amp;base=LAW&amp;n=453499&amp;dst=10956&amp;field=134&amp;date=07.08.2023" TargetMode="External"/><Relationship Id="rId20" Type="http://schemas.openxmlformats.org/officeDocument/2006/relationships/hyperlink" Target="https://login.consultant.ru/link/?req=doc&amp;base=LAW&amp;n=453499&amp;dst=16875&amp;field=134&amp;date=07.08.2023" TargetMode="External"/><Relationship Id="rId29" Type="http://schemas.openxmlformats.org/officeDocument/2006/relationships/hyperlink" Target="https://login.consultant.ru/link/?req=doc&amp;base=LAW&amp;n=453499&amp;dst=16875&amp;field=134&amp;date=07.08.2023" TargetMode="External"/><Relationship Id="rId1" Type="http://schemas.openxmlformats.org/officeDocument/2006/relationships/styles" Target="styles.xml"/><Relationship Id="rId6" Type="http://schemas.openxmlformats.org/officeDocument/2006/relationships/hyperlink" Target="https://login.consultant.ru/link/?req=doc&amp;base=LAW&amp;n=453499&amp;dst=102933&amp;field=134&amp;date=07.08.2023" TargetMode="External"/><Relationship Id="rId11" Type="http://schemas.openxmlformats.org/officeDocument/2006/relationships/hyperlink" Target="https://login.consultant.ru/link/?req=doc&amp;base=LAW&amp;n=453499&amp;dst=101860&amp;field=134&amp;date=07.08.2023" TargetMode="External"/><Relationship Id="rId24" Type="http://schemas.openxmlformats.org/officeDocument/2006/relationships/hyperlink" Target="https://login.consultant.ru/link/?req=doc&amp;base=LAW&amp;n=453499&amp;dst=7119&amp;field=134&amp;date=07.08.2023" TargetMode="External"/><Relationship Id="rId32" Type="http://schemas.openxmlformats.org/officeDocument/2006/relationships/hyperlink" Target="https://login.consultant.ru/link/?req=doc&amp;base=LAW&amp;n=453499&amp;dst=102667&amp;field=134&amp;date=07.08.2023" TargetMode="External"/><Relationship Id="rId5" Type="http://schemas.openxmlformats.org/officeDocument/2006/relationships/hyperlink" Target="https://login.consultant.ru/link/?req=doc&amp;base=LAW&amp;n=444771&amp;dst=5310&amp;field=134&amp;date=07.08.2023" TargetMode="External"/><Relationship Id="rId15" Type="http://schemas.openxmlformats.org/officeDocument/2006/relationships/hyperlink" Target="https://login.consultant.ru/link/?req=doc&amp;base=LAW&amp;n=453499&amp;dst=102643&amp;field=134&amp;date=07.08.2023" TargetMode="External"/><Relationship Id="rId23" Type="http://schemas.openxmlformats.org/officeDocument/2006/relationships/hyperlink" Target="https://login.consultant.ru/link/?req=doc&amp;base=LAW&amp;n=453499&amp;dst=102667&amp;field=134&amp;date=07.08.2023" TargetMode="External"/><Relationship Id="rId28" Type="http://schemas.openxmlformats.org/officeDocument/2006/relationships/hyperlink" Target="https://login.consultant.ru/link/?req=doc&amp;base=LAW&amp;n=453499&amp;dst=694&amp;field=134&amp;date=07.08.2023" TargetMode="External"/><Relationship Id="rId36" Type="http://schemas.openxmlformats.org/officeDocument/2006/relationships/theme" Target="theme/theme1.xml"/><Relationship Id="rId10" Type="http://schemas.openxmlformats.org/officeDocument/2006/relationships/hyperlink" Target="https://login.consultant.ru/link/?req=doc&amp;base=LAW&amp;n=351222&amp;dst=1&amp;field=134&amp;date=07.08.2023" TargetMode="External"/><Relationship Id="rId19" Type="http://schemas.openxmlformats.org/officeDocument/2006/relationships/hyperlink" Target="https://login.consultant.ru/link/?req=doc&amp;base=LAW&amp;n=453499&amp;dst=694&amp;field=134&amp;date=07.08.2023" TargetMode="External"/><Relationship Id="rId31" Type="http://schemas.openxmlformats.org/officeDocument/2006/relationships/hyperlink" Target="https://login.consultant.ru/link/?req=doc&amp;base=LAW&amp;n=453499&amp;dst=21668&amp;field=134&amp;date=07.08.2023" TargetMode="External"/><Relationship Id="rId4" Type="http://schemas.openxmlformats.org/officeDocument/2006/relationships/hyperlink" Target="http://www.consultant.ru" TargetMode="External"/><Relationship Id="rId9" Type="http://schemas.openxmlformats.org/officeDocument/2006/relationships/hyperlink" Target="https://login.consultant.ru/link/?req=doc&amp;base=LAW&amp;n=453499&amp;dst=19378&amp;field=134&amp;date=07.08.2023" TargetMode="External"/><Relationship Id="rId14" Type="http://schemas.openxmlformats.org/officeDocument/2006/relationships/hyperlink" Target="https://login.consultant.ru/link/?req=doc&amp;base=LAW&amp;n=453499&amp;dst=102507&amp;field=134&amp;date=07.08.2023" TargetMode="External"/><Relationship Id="rId22" Type="http://schemas.openxmlformats.org/officeDocument/2006/relationships/hyperlink" Target="https://login.consultant.ru/link/?req=doc&amp;base=LAW&amp;n=453499&amp;dst=21668&amp;field=134&amp;date=07.08.2023" TargetMode="External"/><Relationship Id="rId27" Type="http://schemas.openxmlformats.org/officeDocument/2006/relationships/hyperlink" Target="https://login.consultant.ru/link/?req=doc&amp;base=LAW&amp;n=453499&amp;dst=3296&amp;field=134&amp;date=07.08.2023" TargetMode="External"/><Relationship Id="rId30" Type="http://schemas.openxmlformats.org/officeDocument/2006/relationships/hyperlink" Target="https://login.consultant.ru/link/?req=doc&amp;base=LAW&amp;n=453499&amp;dst=21659&amp;field=134&amp;date=07.08.2023" TargetMode="External"/><Relationship Id="rId35" Type="http://schemas.openxmlformats.org/officeDocument/2006/relationships/fontTable" Target="fontTable.xml"/><Relationship Id="rId8" Type="http://schemas.openxmlformats.org/officeDocument/2006/relationships/hyperlink" Target="https://login.consultant.ru/link/?req=doc&amp;base=LAW&amp;n=444771&amp;dst=2031&amp;field=134&amp;date=07.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3273</Words>
  <Characters>18662</Characters>
  <Application>Microsoft Office Word</Application>
  <DocSecurity>0</DocSecurity>
  <Lines>155</Lines>
  <Paragraphs>43</Paragraphs>
  <ScaleCrop>false</ScaleCrop>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2023-09-04T08:10:00Z</dcterms:created>
  <dcterms:modified xsi:type="dcterms:W3CDTF">2023-09-04T08:10:00Z</dcterms:modified>
</cp:coreProperties>
</file>